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0C5AD886" w:rsidR="00E66558" w:rsidRDefault="009D71E8">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42A5F82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42A5F82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416989CA" w:rsidR="00E66558" w:rsidRDefault="00ED756B">
            <w:pPr>
              <w:pStyle w:val="TableRow"/>
            </w:pPr>
            <w:r>
              <w:t>Barningham CEVC Primary School</w:t>
            </w:r>
          </w:p>
        </w:tc>
      </w:tr>
      <w:tr w:rsidR="00E66558" w14:paraId="2A7D54BD" w14:textId="77777777" w:rsidTr="42A5F82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180702FE" w:rsidR="00E66558" w:rsidRDefault="001A6417">
            <w:pPr>
              <w:pStyle w:val="TableRow"/>
            </w:pPr>
            <w:r>
              <w:t>81</w:t>
            </w:r>
          </w:p>
        </w:tc>
      </w:tr>
      <w:tr w:rsidR="00E66558" w14:paraId="2A7D54C0" w14:textId="77777777" w:rsidTr="42A5F82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A9FBBD" w14:textId="6B763E33" w:rsidR="42A5F824" w:rsidRDefault="42A5F824" w:rsidP="42A5F824">
            <w:pPr>
              <w:pStyle w:val="TableRow"/>
            </w:pPr>
            <w:r w:rsidRPr="42A5F824">
              <w:rPr>
                <w:b/>
                <w:bCs/>
              </w:rPr>
              <w:t>FSM</w:t>
            </w:r>
            <w:r>
              <w:t xml:space="preserve">: 12 </w:t>
            </w:r>
            <w:r w:rsidRPr="42A5F824">
              <w:rPr>
                <w:b/>
                <w:bCs/>
              </w:rPr>
              <w:t>LAC</w:t>
            </w:r>
            <w:r>
              <w:t xml:space="preserve">: 1 </w:t>
            </w:r>
            <w:r w:rsidRPr="42A5F824">
              <w:rPr>
                <w:b/>
                <w:bCs/>
              </w:rPr>
              <w:t>Serv</w:t>
            </w:r>
            <w:r>
              <w:t>:7</w:t>
            </w:r>
          </w:p>
          <w:p w14:paraId="2A7D54BF" w14:textId="56D835FC" w:rsidR="00E66558" w:rsidRDefault="001A6417">
            <w:pPr>
              <w:pStyle w:val="TableRow"/>
            </w:pPr>
            <w:r>
              <w:t>20 pupils (25%)</w:t>
            </w:r>
          </w:p>
        </w:tc>
      </w:tr>
      <w:tr w:rsidR="00E66558" w14:paraId="2A7D54C3" w14:textId="77777777" w:rsidTr="42A5F82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3CC2C0DA" w:rsidR="00E66558" w:rsidRDefault="001A6417">
            <w:pPr>
              <w:pStyle w:val="TableRow"/>
            </w:pPr>
            <w:r>
              <w:t>3 years</w:t>
            </w:r>
          </w:p>
        </w:tc>
      </w:tr>
      <w:tr w:rsidR="00E66558" w14:paraId="2A7D54C6" w14:textId="77777777" w:rsidTr="42A5F82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595696CB" w:rsidR="00E66558" w:rsidRDefault="001A6417">
            <w:pPr>
              <w:pStyle w:val="TableRow"/>
            </w:pPr>
            <w:r>
              <w:t>31.12.21</w:t>
            </w:r>
          </w:p>
        </w:tc>
      </w:tr>
      <w:tr w:rsidR="00E66558" w14:paraId="2A7D54C9" w14:textId="77777777" w:rsidTr="42A5F82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0514F707" w:rsidR="00E66558" w:rsidRDefault="001A6417">
            <w:pPr>
              <w:pStyle w:val="TableRow"/>
            </w:pPr>
            <w:r>
              <w:t>31.12.22</w:t>
            </w:r>
          </w:p>
        </w:tc>
      </w:tr>
      <w:tr w:rsidR="00E66558" w14:paraId="2A7D54CC" w14:textId="77777777" w:rsidTr="42A5F82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1A1AF830" w:rsidR="00E66558" w:rsidRDefault="42A5F824">
            <w:pPr>
              <w:pStyle w:val="TableRow"/>
            </w:pPr>
            <w:r>
              <w:t>HT &amp; Governors</w:t>
            </w:r>
          </w:p>
        </w:tc>
      </w:tr>
      <w:tr w:rsidR="00E66558" w14:paraId="2A7D54CF" w14:textId="77777777" w:rsidTr="42A5F82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2F632E68" w:rsidR="001A6417" w:rsidRDefault="001A6417" w:rsidP="001A6417">
            <w:pPr>
              <w:pStyle w:val="TableRow"/>
            </w:pPr>
            <w:r>
              <w:t xml:space="preserve">Stephany Hunter </w:t>
            </w:r>
          </w:p>
        </w:tc>
      </w:tr>
      <w:tr w:rsidR="00E66558" w14:paraId="2A7D54D2" w14:textId="77777777" w:rsidTr="42A5F82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24873166" w:rsidR="00E66558" w:rsidRDefault="42A5F824">
            <w:pPr>
              <w:pStyle w:val="TableRow"/>
            </w:pPr>
            <w:r>
              <w:t>Claire Walker</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1E235A0" w:rsidR="00E66558" w:rsidRDefault="009D71E8">
            <w:pPr>
              <w:pStyle w:val="TableRow"/>
            </w:pPr>
            <w:r>
              <w:t>£</w:t>
            </w:r>
            <w:r w:rsidR="00973285">
              <w:t>23,584</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F69A9B2" w:rsidR="00E66558" w:rsidRDefault="009D71E8">
            <w:pPr>
              <w:pStyle w:val="TableRow"/>
            </w:pPr>
            <w:r>
              <w:t>£</w:t>
            </w:r>
            <w:r w:rsidR="00973285">
              <w:t>3,160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C3DBF62" w:rsidR="00E66558" w:rsidRDefault="009D71E8">
            <w:pPr>
              <w:pStyle w:val="TableRow"/>
            </w:pPr>
            <w:r>
              <w:t>£</w:t>
            </w:r>
            <w:r w:rsidR="00ED756B">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33FF77D" w:rsidR="00E66558" w:rsidRDefault="009D71E8">
            <w:pPr>
              <w:pStyle w:val="TableRow"/>
            </w:pPr>
            <w:r>
              <w:t>£</w:t>
            </w:r>
            <w:r w:rsidR="00973285">
              <w:t>26,744</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42A5F824">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7A27D7" w14:textId="766977D0" w:rsidR="00E66558" w:rsidRDefault="42A5F824" w:rsidP="42A5F824">
            <w:pPr>
              <w:rPr>
                <w:color w:val="0D0D0D" w:themeColor="text1" w:themeTint="F2"/>
              </w:rPr>
            </w:pPr>
            <w:r w:rsidRPr="42A5F824">
              <w:rPr>
                <w:color w:val="0D0D0D" w:themeColor="text1" w:themeTint="F2"/>
              </w:rPr>
              <w:t xml:space="preserve">At Barningham CEVC Primary school, our mission statement is to grow in faith, grow in our learning and grow our future world. We have a strong belief that this concept of growth and ambition is key for our disadvantaged pupils as well as our whole pupil community. </w:t>
            </w:r>
          </w:p>
          <w:p w14:paraId="19786A9F" w14:textId="7B317E74" w:rsidR="00E66558" w:rsidRDefault="42A5F824" w:rsidP="42A5F824">
            <w:pPr>
              <w:rPr>
                <w:color w:val="0D0D0D" w:themeColor="text1" w:themeTint="F2"/>
              </w:rPr>
            </w:pPr>
            <w:r w:rsidRPr="42A5F824">
              <w:rPr>
                <w:color w:val="0D0D0D" w:themeColor="text1" w:themeTint="F2"/>
              </w:rPr>
              <w:t xml:space="preserve">As a small, rural village school, our pupils face the disadvantage that rurality brings from lack of access to public transport and suitable road networks as well as the social isolation and lack of public spaces/activities to be a part of. </w:t>
            </w:r>
          </w:p>
          <w:p w14:paraId="475955E7" w14:textId="517DEEEB" w:rsidR="00E66558" w:rsidRDefault="42A5F824" w:rsidP="42A5F824">
            <w:pPr>
              <w:rPr>
                <w:color w:val="0D0D0D" w:themeColor="text1" w:themeTint="F2"/>
              </w:rPr>
            </w:pPr>
            <w:r w:rsidRPr="42A5F824">
              <w:rPr>
                <w:color w:val="0D0D0D" w:themeColor="text1" w:themeTint="F2"/>
              </w:rPr>
              <w:t>Our goal is to be a community hub for families and the community alike, a supportive structure for early help and intervention and to be true champions for all our pupils whether disadvantaged or not.</w:t>
            </w:r>
          </w:p>
          <w:p w14:paraId="21D7F5BF" w14:textId="5E179634" w:rsidR="00E66558" w:rsidRDefault="42A5F824" w:rsidP="42A5F824">
            <w:pPr>
              <w:rPr>
                <w:color w:val="0D0D0D" w:themeColor="text1" w:themeTint="F2"/>
              </w:rPr>
            </w:pPr>
            <w:r w:rsidRPr="42A5F824">
              <w:rPr>
                <w:color w:val="0D0D0D" w:themeColor="text1" w:themeTint="F2"/>
              </w:rPr>
              <w:t xml:space="preserve">One of our values is ‘to be ambitious’ and this is something we hold true to when creating our strategy for pupil premium. We have the fundamental belief that all children need access to high quality teaching and this forms the heart of our strategy. In addition to this, a strong focus on early identification and support with phonics, reading and language development through a strong early years provision. This way, pupils are caught early to reduce the attainment gap over time between disadvantaged pupils and their peers. </w:t>
            </w:r>
          </w:p>
          <w:p w14:paraId="113EE245" w14:textId="104A63B0" w:rsidR="00E66558" w:rsidRDefault="42A5F824" w:rsidP="42A5F824">
            <w:pPr>
              <w:rPr>
                <w:color w:val="0D0D0D" w:themeColor="text1" w:themeTint="F2"/>
              </w:rPr>
            </w:pPr>
            <w:r w:rsidRPr="42A5F824">
              <w:rPr>
                <w:color w:val="0D0D0D" w:themeColor="text1" w:themeTint="F2"/>
              </w:rPr>
              <w:t>Due to COVID-19 and the national lockdowns, the gap between disadvantaged pupils and their peers widened. As a result, the recovery premium as well as the pupil premium and recovery grant will be used towards tuition both in house and through the national tuition partners.</w:t>
            </w:r>
          </w:p>
          <w:p w14:paraId="09747759" w14:textId="76B54705" w:rsidR="00E66558" w:rsidRDefault="42A5F824" w:rsidP="42A5F824">
            <w:pPr>
              <w:rPr>
                <w:color w:val="0D0D0D" w:themeColor="text1" w:themeTint="F2"/>
              </w:rPr>
            </w:pPr>
            <w:r w:rsidRPr="42A5F824">
              <w:rPr>
                <w:color w:val="0D0D0D" w:themeColor="text1" w:themeTint="F2"/>
              </w:rPr>
              <w:t>There is also a strong link between mental health and our disadvantaged pupils and therefore our wellbeing strategy and support network is woven throughout our wider school strategies through emotional literacy support and through external agencies where applicable. This includes a focus on attendance and ensuring that disadvantaged pupils attendance improves to ensure they are able to make progress in their learning.</w:t>
            </w:r>
          </w:p>
          <w:p w14:paraId="2A7D54E9" w14:textId="4D61D979" w:rsidR="00E66558" w:rsidRDefault="42A5F824" w:rsidP="42A5F824">
            <w:pPr>
              <w:rPr>
                <w:color w:val="0D0D0D" w:themeColor="text1" w:themeTint="F2"/>
              </w:rPr>
            </w:pPr>
            <w:r w:rsidRPr="42A5F824">
              <w:rPr>
                <w:color w:val="0D0D0D" w:themeColor="text1" w:themeTint="F2"/>
              </w:rPr>
              <w:t>Above all,our pupil premium strategy is based on analysis of the needs of individual pupils and is regularly assessed and reviewed to meet the needs of all of our learners, championing them all to be ambitious and reach their full potential.</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42A5F82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42A5F82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5CA21BDA" w:rsidR="00E66558" w:rsidRDefault="42A5F824">
            <w:pPr>
              <w:pStyle w:val="TableRowCentered"/>
              <w:jc w:val="left"/>
            </w:pPr>
            <w:r w:rsidRPr="42A5F824">
              <w:rPr>
                <w:color w:val="000000" w:themeColor="text1"/>
              </w:rPr>
              <w:t xml:space="preserve">Evidence suggests that disadvantaged pupils generally have greater difficulties with </w:t>
            </w:r>
            <w:r w:rsidRPr="42A5F824">
              <w:rPr>
                <w:b/>
                <w:bCs/>
                <w:color w:val="000000" w:themeColor="text1"/>
              </w:rPr>
              <w:t>phonics</w:t>
            </w:r>
            <w:r w:rsidRPr="42A5F824">
              <w:rPr>
                <w:color w:val="000000" w:themeColor="text1"/>
              </w:rPr>
              <w:t xml:space="preserve"> than their peers. This negatively impacts their development as readers.</w:t>
            </w:r>
            <w:r w:rsidRPr="42A5F824">
              <w:rPr>
                <w:i/>
                <w:iCs/>
                <w:sz w:val="22"/>
                <w:szCs w:val="22"/>
              </w:rPr>
              <w:t xml:space="preserve"> </w:t>
            </w:r>
          </w:p>
        </w:tc>
      </w:tr>
      <w:tr w:rsidR="00E66558" w14:paraId="2A7D54F5" w14:textId="77777777" w:rsidTr="42A5F82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6C7CCC77" w:rsidR="00E66558" w:rsidRDefault="42A5F824" w:rsidP="42A5F824">
            <w:pPr>
              <w:pStyle w:val="TableRowCentered"/>
              <w:jc w:val="left"/>
              <w:rPr>
                <w:color w:val="0D0D0D" w:themeColor="text1" w:themeTint="F2"/>
                <w:szCs w:val="24"/>
              </w:rPr>
            </w:pPr>
            <w:r w:rsidRPr="42A5F824">
              <w:rPr>
                <w:color w:val="000000" w:themeColor="text1"/>
              </w:rPr>
              <w:t xml:space="preserve">Evidence collated indicates underdeveloped </w:t>
            </w:r>
            <w:r w:rsidRPr="42A5F824">
              <w:rPr>
                <w:b/>
                <w:bCs/>
                <w:color w:val="000000" w:themeColor="text1"/>
              </w:rPr>
              <w:t>oral language skills and vocabulary gaps</w:t>
            </w:r>
            <w:r w:rsidRPr="42A5F824">
              <w:rPr>
                <w:color w:val="000000" w:themeColor="text1"/>
              </w:rPr>
              <w:t xml:space="preserve"> among many disadvantaged pupils. </w:t>
            </w:r>
          </w:p>
        </w:tc>
      </w:tr>
      <w:tr w:rsidR="00E66558" w14:paraId="2A7D54F8" w14:textId="77777777" w:rsidTr="42A5F82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0C969FE2" w:rsidR="00E66558" w:rsidRDefault="42A5F824" w:rsidP="42A5F824">
            <w:pPr>
              <w:rPr>
                <w:color w:val="0D0D0D" w:themeColor="text1" w:themeTint="F2"/>
              </w:rPr>
            </w:pPr>
            <w:r w:rsidRPr="42A5F824">
              <w:rPr>
                <w:color w:val="000000" w:themeColor="text1"/>
              </w:rPr>
              <w:t xml:space="preserve">Internal assessments indicate that </w:t>
            </w:r>
            <w:r w:rsidRPr="42A5F824">
              <w:rPr>
                <w:b/>
                <w:bCs/>
                <w:color w:val="000000" w:themeColor="text1"/>
              </w:rPr>
              <w:t xml:space="preserve">maths attainment </w:t>
            </w:r>
            <w:r w:rsidRPr="42A5F824">
              <w:rPr>
                <w:color w:val="000000" w:themeColor="text1"/>
              </w:rPr>
              <w:t xml:space="preserve">among disadvantaged pupils is below that of non-disadvantaged pupils, particularly in relation to </w:t>
            </w:r>
            <w:r w:rsidRPr="42A5F824">
              <w:rPr>
                <w:b/>
                <w:bCs/>
                <w:color w:val="000000" w:themeColor="text1"/>
              </w:rPr>
              <w:t>basic number skills</w:t>
            </w:r>
            <w:r w:rsidRPr="42A5F824">
              <w:rPr>
                <w:color w:val="000000" w:themeColor="text1"/>
              </w:rPr>
              <w:t>. Our assessments and observations indicate that the education and wellbeing of many of our disadvantaged pupils have been impacted by partial school closures to a greater extent than for other pupils. These findings are supported by national studies. This has resulted in significant knowledge gaps leading to pupils falling further behind age-related expectations, especially in maths.</w:t>
            </w:r>
          </w:p>
        </w:tc>
      </w:tr>
      <w:tr w:rsidR="00E66558" w14:paraId="2A7D54FB" w14:textId="77777777" w:rsidTr="42A5F82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3A989E" w14:textId="1855E550" w:rsidR="00E66558" w:rsidRDefault="42A5F824" w:rsidP="42A5F824">
            <w:r w:rsidRPr="42A5F824">
              <w:rPr>
                <w:color w:val="000000" w:themeColor="text1"/>
              </w:rPr>
              <w:t xml:space="preserve">Our </w:t>
            </w:r>
            <w:r w:rsidRPr="42A5F824">
              <w:rPr>
                <w:b/>
                <w:bCs/>
                <w:color w:val="000000" w:themeColor="text1"/>
              </w:rPr>
              <w:t>attendance</w:t>
            </w:r>
            <w:r w:rsidRPr="42A5F824">
              <w:rPr>
                <w:color w:val="000000" w:themeColor="text1"/>
              </w:rPr>
              <w:t xml:space="preserve"> data indicates that attendance among disadvantaged pupils has been between 2 - 2.6% lower than for non-disadvantaged pupils.</w:t>
            </w:r>
            <w:r w:rsidRPr="42A5F824">
              <w:t xml:space="preserve"> </w:t>
            </w:r>
          </w:p>
          <w:p w14:paraId="2A7D54FA" w14:textId="3F2F4D3B" w:rsidR="00E66558" w:rsidRDefault="42A5F824" w:rsidP="42A5F824">
            <w:r w:rsidRPr="42A5F824">
              <w:rPr>
                <w:color w:val="000000" w:themeColor="text1"/>
              </w:rPr>
              <w:t>30 - 50% of disadvantaged pupils have been ‘persistently absent’ compared to 10 - 12% of their peers during that period. Our assessments and observations indicate that absenteeism is negatively impacting disadvantaged pupils’ progress.</w:t>
            </w:r>
          </w:p>
        </w:tc>
      </w:tr>
      <w:tr w:rsidR="00E66558" w14:paraId="2A7D54FE" w14:textId="77777777" w:rsidTr="42A5F82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7" w:name="_Toc443397160"/>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D" w14:textId="1A43D5FA" w:rsidR="00E66558" w:rsidRDefault="42A5F824" w:rsidP="42A5F824">
            <w:pPr>
              <w:pStyle w:val="TableRowCentered"/>
              <w:spacing w:line="259" w:lineRule="auto"/>
              <w:jc w:val="left"/>
              <w:rPr>
                <w:color w:val="0D0D0D" w:themeColor="text1" w:themeTint="F2"/>
                <w:szCs w:val="24"/>
              </w:rPr>
            </w:pPr>
            <w:r w:rsidRPr="42A5F824">
              <w:rPr>
                <w:color w:val="0D0D0D" w:themeColor="text1" w:themeTint="F2"/>
                <w:szCs w:val="24"/>
              </w:rPr>
              <w:t xml:space="preserve">Observations and pupil progress meetings indicate that disadvantaged pupils in the school are less confident and resilient compared with their non disadvantaged peers. Their </w:t>
            </w:r>
            <w:r w:rsidRPr="42A5F824">
              <w:rPr>
                <w:b/>
                <w:bCs/>
                <w:color w:val="0D0D0D" w:themeColor="text1" w:themeTint="F2"/>
                <w:szCs w:val="24"/>
              </w:rPr>
              <w:t xml:space="preserve">behaviours for learning </w:t>
            </w:r>
            <w:r w:rsidRPr="42A5F824">
              <w:rPr>
                <w:color w:val="0D0D0D" w:themeColor="text1" w:themeTint="F2"/>
                <w:szCs w:val="24"/>
              </w:rPr>
              <w:t>as a result is impacted by their self-esteem and confidence.</w:t>
            </w:r>
          </w:p>
        </w:tc>
      </w:tr>
      <w:tr w:rsidR="42A5F824" w14:paraId="2F21B54D" w14:textId="77777777" w:rsidTr="42A5F82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BF49C3" w14:textId="6C914CF0" w:rsidR="42A5F824" w:rsidRDefault="42A5F824" w:rsidP="42A5F824">
            <w:pPr>
              <w:pStyle w:val="TableRow"/>
              <w:rPr>
                <w:color w:val="0D0D0D" w:themeColor="text1" w:themeTint="F2"/>
              </w:rPr>
            </w:pPr>
            <w:r w:rsidRPr="42A5F824">
              <w:rPr>
                <w:color w:val="0D0D0D" w:themeColor="text1" w:themeTint="F2"/>
              </w:rPr>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7DEB48" w14:textId="0BF1D47A" w:rsidR="42A5F824" w:rsidRDefault="42A5F824" w:rsidP="42A5F824">
            <w:pPr>
              <w:rPr>
                <w:color w:val="000000" w:themeColor="text1"/>
              </w:rPr>
            </w:pPr>
            <w:r w:rsidRPr="42A5F824">
              <w:rPr>
                <w:color w:val="000000" w:themeColor="text1"/>
              </w:rPr>
              <w:t xml:space="preserve">Evidence collated has identified </w:t>
            </w:r>
            <w:r w:rsidRPr="42A5F824">
              <w:rPr>
                <w:b/>
                <w:bCs/>
                <w:color w:val="000000" w:themeColor="text1"/>
              </w:rPr>
              <w:t>social and emotional issues</w:t>
            </w:r>
            <w:r w:rsidRPr="42A5F824">
              <w:rPr>
                <w:color w:val="000000" w:themeColor="text1"/>
              </w:rPr>
              <w:t xml:space="preserve"> for many pupils, notably due to low self-esteem, confidence, and anxiety, as well as a lack of enrichment opportunities during school closure. These challenges particularly affect disadvantaged pupils, including their attainment.</w:t>
            </w:r>
            <w:r w:rsidRPr="42A5F824">
              <w:t xml:space="preserve"> </w:t>
            </w:r>
          </w:p>
        </w:tc>
      </w:tr>
    </w:tbl>
    <w:p w14:paraId="2A7D54FF" w14:textId="77777777" w:rsidR="00E66558" w:rsidRDefault="009D71E8">
      <w:pPr>
        <w:pStyle w:val="Heading2"/>
        <w:spacing w:before="600"/>
      </w:pPr>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42A5F82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42A5F82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4ECDD459" w:rsidR="00E66558" w:rsidRDefault="42A5F824" w:rsidP="42A5F824">
            <w:pPr>
              <w:pStyle w:val="TableRow"/>
              <w:rPr>
                <w:i/>
                <w:iCs/>
              </w:rPr>
            </w:pPr>
            <w:r w:rsidRPr="42A5F824">
              <w:rPr>
                <w:i/>
                <w:iCs/>
              </w:rPr>
              <w:t>Improved outcomes in phonics and reading attainment for disadvantaged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4FF599" w14:textId="2BEB2BB2" w:rsidR="00E66558" w:rsidRDefault="42A5F824" w:rsidP="42A5F824">
            <w:pPr>
              <w:pStyle w:val="TableRowCentered"/>
              <w:jc w:val="left"/>
              <w:rPr>
                <w:szCs w:val="24"/>
              </w:rPr>
            </w:pPr>
            <w:r w:rsidRPr="42A5F824">
              <w:rPr>
                <w:szCs w:val="24"/>
              </w:rPr>
              <w:t>By 2023-2024:</w:t>
            </w:r>
          </w:p>
          <w:p w14:paraId="048E71A0" w14:textId="6441664E" w:rsidR="00E66558" w:rsidRDefault="42A5F824" w:rsidP="42A5F824">
            <w:pPr>
              <w:pStyle w:val="TableRowCentered"/>
              <w:jc w:val="left"/>
              <w:rPr>
                <w:color w:val="0D0D0D" w:themeColor="text1" w:themeTint="F2"/>
                <w:szCs w:val="24"/>
              </w:rPr>
            </w:pPr>
            <w:r w:rsidRPr="42A5F824">
              <w:rPr>
                <w:color w:val="0D0D0D" w:themeColor="text1" w:themeTint="F2"/>
                <w:szCs w:val="24"/>
              </w:rPr>
              <w:t>- At least 80% of disadvantaged pupil will pass PSC</w:t>
            </w:r>
          </w:p>
          <w:p w14:paraId="2A7D5505" w14:textId="4C818D55" w:rsidR="00E66558" w:rsidRDefault="42A5F824" w:rsidP="42A5F824">
            <w:pPr>
              <w:pStyle w:val="TableRowCentered"/>
              <w:jc w:val="left"/>
              <w:rPr>
                <w:color w:val="0D0D0D" w:themeColor="text1" w:themeTint="F2"/>
                <w:szCs w:val="24"/>
              </w:rPr>
            </w:pPr>
            <w:r w:rsidRPr="42A5F824">
              <w:rPr>
                <w:color w:val="0D0D0D" w:themeColor="text1" w:themeTint="F2"/>
                <w:szCs w:val="24"/>
              </w:rPr>
              <w:t>- Disadvantage reading attainment will be broadly in line with national by the end of KS1 and KS2</w:t>
            </w:r>
          </w:p>
        </w:tc>
      </w:tr>
      <w:tr w:rsidR="00E66558" w14:paraId="2A7D5509" w14:textId="77777777" w:rsidTr="42A5F82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2F950994" w:rsidR="00E66558" w:rsidRDefault="42A5F824" w:rsidP="42A5F824">
            <w:pPr>
              <w:pStyle w:val="TableRow"/>
              <w:rPr>
                <w:i/>
                <w:iCs/>
              </w:rPr>
            </w:pPr>
            <w:r w:rsidRPr="42A5F824">
              <w:rPr>
                <w:i/>
                <w:iCs/>
              </w:rPr>
              <w:t>Improved oral language and vocabulary skills for disadvantaged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7A26DC" w14:textId="2BEB2BB2" w:rsidR="00E66558" w:rsidRDefault="42A5F824" w:rsidP="42A5F824">
            <w:pPr>
              <w:pStyle w:val="TableRowCentered"/>
              <w:jc w:val="left"/>
              <w:rPr>
                <w:szCs w:val="24"/>
              </w:rPr>
            </w:pPr>
            <w:r w:rsidRPr="42A5F824">
              <w:rPr>
                <w:szCs w:val="24"/>
              </w:rPr>
              <w:t>By 2023-2024:</w:t>
            </w:r>
          </w:p>
          <w:p w14:paraId="34515E1D" w14:textId="68B6249C" w:rsidR="00E66558" w:rsidRDefault="42A5F824" w:rsidP="42A5F824">
            <w:pPr>
              <w:pStyle w:val="TableRowCentered"/>
              <w:numPr>
                <w:ilvl w:val="0"/>
                <w:numId w:val="6"/>
              </w:numPr>
              <w:ind w:left="180" w:hanging="180"/>
              <w:jc w:val="left"/>
              <w:rPr>
                <w:rFonts w:ascii="Calibri" w:eastAsia="Calibri" w:hAnsi="Calibri" w:cs="Calibri"/>
                <w:color w:val="0D0D0D" w:themeColor="text1" w:themeTint="F2"/>
                <w:szCs w:val="24"/>
              </w:rPr>
            </w:pPr>
            <w:r w:rsidRPr="42A5F824">
              <w:rPr>
                <w:color w:val="0D0D0D" w:themeColor="text1" w:themeTint="F2"/>
                <w:szCs w:val="24"/>
              </w:rPr>
              <w:t>Observations and assessments will indicate improved language skills</w:t>
            </w:r>
          </w:p>
          <w:p w14:paraId="2A7D5508" w14:textId="7F9919EE" w:rsidR="00E66558" w:rsidRDefault="42A5F824" w:rsidP="42A5F824">
            <w:pPr>
              <w:pStyle w:val="TableRowCentered"/>
              <w:numPr>
                <w:ilvl w:val="0"/>
                <w:numId w:val="6"/>
              </w:numPr>
              <w:ind w:left="180" w:hanging="180"/>
              <w:jc w:val="left"/>
              <w:rPr>
                <w:color w:val="0D0D0D" w:themeColor="text1" w:themeTint="F2"/>
                <w:szCs w:val="24"/>
              </w:rPr>
            </w:pPr>
            <w:r w:rsidRPr="42A5F824">
              <w:rPr>
                <w:color w:val="0D0D0D" w:themeColor="text1" w:themeTint="F2"/>
                <w:szCs w:val="24"/>
              </w:rPr>
              <w:t>EYs pupils will leave Reception with suitable language skills following early intervention</w:t>
            </w:r>
          </w:p>
        </w:tc>
      </w:tr>
      <w:tr w:rsidR="00E66558" w14:paraId="2A7D550C" w14:textId="77777777" w:rsidTr="42A5F82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0815C97C" w:rsidR="00E66558" w:rsidRDefault="42A5F824" w:rsidP="42A5F824">
            <w:pPr>
              <w:pStyle w:val="TableRow"/>
              <w:rPr>
                <w:i/>
                <w:iCs/>
              </w:rPr>
            </w:pPr>
            <w:r w:rsidRPr="42A5F824">
              <w:rPr>
                <w:i/>
                <w:iCs/>
              </w:rPr>
              <w:t>Improved attainment in maths basic skills for all pupils, particularly our disadvantaged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3ED501" w14:textId="2BEB2BB2" w:rsidR="00E66558" w:rsidRDefault="42A5F824" w:rsidP="42A5F824">
            <w:pPr>
              <w:pStyle w:val="TableRowCentered"/>
              <w:jc w:val="left"/>
              <w:rPr>
                <w:szCs w:val="24"/>
              </w:rPr>
            </w:pPr>
            <w:r w:rsidRPr="42A5F824">
              <w:rPr>
                <w:szCs w:val="24"/>
              </w:rPr>
              <w:t>By 2023-2024:</w:t>
            </w:r>
          </w:p>
          <w:p w14:paraId="11816656" w14:textId="6A071F1F" w:rsidR="00E66558" w:rsidRDefault="42A5F824" w:rsidP="42A5F824">
            <w:pPr>
              <w:pStyle w:val="TableRowCentered"/>
              <w:numPr>
                <w:ilvl w:val="0"/>
                <w:numId w:val="5"/>
              </w:numPr>
              <w:ind w:left="180" w:hanging="180"/>
              <w:jc w:val="left"/>
              <w:rPr>
                <w:rFonts w:ascii="Calibri" w:eastAsia="Calibri" w:hAnsi="Calibri" w:cs="Calibri"/>
                <w:color w:val="0D0D0D" w:themeColor="text1" w:themeTint="F2"/>
                <w:szCs w:val="24"/>
              </w:rPr>
            </w:pPr>
            <w:r w:rsidRPr="42A5F824">
              <w:rPr>
                <w:color w:val="0D0D0D" w:themeColor="text1" w:themeTint="F2"/>
                <w:szCs w:val="24"/>
              </w:rPr>
              <w:t>Maths attainment in EYs, KS1 and KS2 will show sustained improvement</w:t>
            </w:r>
          </w:p>
          <w:p w14:paraId="471CA85C" w14:textId="3F5447F9" w:rsidR="00E66558" w:rsidRDefault="42A5F824" w:rsidP="42A5F824">
            <w:pPr>
              <w:pStyle w:val="TableRowCentered"/>
              <w:numPr>
                <w:ilvl w:val="0"/>
                <w:numId w:val="5"/>
              </w:numPr>
              <w:ind w:left="180" w:hanging="180"/>
              <w:jc w:val="left"/>
              <w:rPr>
                <w:color w:val="0D0D0D" w:themeColor="text1" w:themeTint="F2"/>
                <w:szCs w:val="24"/>
              </w:rPr>
            </w:pPr>
            <w:r w:rsidRPr="42A5F824">
              <w:rPr>
                <w:color w:val="0D0D0D" w:themeColor="text1" w:themeTint="F2"/>
                <w:szCs w:val="24"/>
              </w:rPr>
              <w:t>Maths progress scores will be above 0 in KS2</w:t>
            </w:r>
          </w:p>
          <w:p w14:paraId="2A7D550B" w14:textId="22059A1E" w:rsidR="00E66558" w:rsidRDefault="42A5F824" w:rsidP="42A5F824">
            <w:pPr>
              <w:pStyle w:val="TableRowCentered"/>
              <w:numPr>
                <w:ilvl w:val="0"/>
                <w:numId w:val="5"/>
              </w:numPr>
              <w:ind w:left="180" w:hanging="180"/>
              <w:jc w:val="left"/>
              <w:rPr>
                <w:color w:val="0D0D0D" w:themeColor="text1" w:themeTint="F2"/>
                <w:szCs w:val="24"/>
              </w:rPr>
            </w:pPr>
            <w:r w:rsidRPr="42A5F824">
              <w:rPr>
                <w:color w:val="0D0D0D" w:themeColor="text1" w:themeTint="F2"/>
                <w:szCs w:val="24"/>
              </w:rPr>
              <w:t>Y4 MTC will indicate at least 70% of disadvantaged pupils pass</w:t>
            </w:r>
          </w:p>
        </w:tc>
      </w:tr>
      <w:tr w:rsidR="00E66558" w14:paraId="2A7D550F" w14:textId="77777777" w:rsidTr="42A5F82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D" w14:textId="31716F87" w:rsidR="00E66558" w:rsidRDefault="42A5F824" w:rsidP="42A5F824">
            <w:pPr>
              <w:pStyle w:val="TableRow"/>
              <w:rPr>
                <w:i/>
                <w:iCs/>
                <w:color w:val="0D0D0D" w:themeColor="text1" w:themeTint="F2"/>
              </w:rPr>
            </w:pPr>
            <w:r w:rsidRPr="42A5F824">
              <w:rPr>
                <w:i/>
                <w:iCs/>
                <w:color w:val="000000" w:themeColor="text1"/>
              </w:rPr>
              <w:t>To achieve and sustain improved attendance for all pupils, particularly our disadvantaged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322F1C" w14:textId="2EB2AC80" w:rsidR="00E66558" w:rsidRDefault="42A5F824" w:rsidP="42A5F824">
            <w:pPr>
              <w:pStyle w:val="TableRowCentered"/>
              <w:jc w:val="left"/>
              <w:rPr>
                <w:szCs w:val="24"/>
              </w:rPr>
            </w:pPr>
            <w:r w:rsidRPr="42A5F824">
              <w:rPr>
                <w:szCs w:val="24"/>
              </w:rPr>
              <w:t>By 2023-2024:</w:t>
            </w:r>
          </w:p>
          <w:p w14:paraId="4201890E" w14:textId="323CC601" w:rsidR="00E66558" w:rsidRDefault="42A5F824" w:rsidP="42A5F824">
            <w:pPr>
              <w:pStyle w:val="ListParagraph"/>
              <w:numPr>
                <w:ilvl w:val="0"/>
                <w:numId w:val="4"/>
              </w:numPr>
              <w:ind w:left="180" w:hanging="180"/>
              <w:rPr>
                <w:rFonts w:ascii="Calibri" w:eastAsia="Calibri" w:hAnsi="Calibri" w:cs="Calibri"/>
                <w:color w:val="0D0D0D" w:themeColor="text1" w:themeTint="F2"/>
              </w:rPr>
            </w:pPr>
            <w:r w:rsidRPr="42A5F824">
              <w:rPr>
                <w:color w:val="000000" w:themeColor="text1"/>
              </w:rPr>
              <w:t>the overall absence rate for all pupils being no more than 4%, and the attendance gap between disadvantaged pupils and their non-disadvantaged peers being reduced by 1%.</w:t>
            </w:r>
            <w:r w:rsidRPr="42A5F824">
              <w:t xml:space="preserve"> </w:t>
            </w:r>
          </w:p>
          <w:p w14:paraId="2A7D550E" w14:textId="54DCFF22" w:rsidR="00E66558" w:rsidRDefault="42A5F824" w:rsidP="42A5F824">
            <w:pPr>
              <w:pStyle w:val="ListParagraph"/>
              <w:numPr>
                <w:ilvl w:val="0"/>
                <w:numId w:val="3"/>
              </w:numPr>
              <w:ind w:left="180" w:hanging="180"/>
              <w:rPr>
                <w:rFonts w:ascii="Calibri" w:eastAsia="Calibri" w:hAnsi="Calibri" w:cs="Calibri"/>
                <w:color w:val="000000" w:themeColor="text1"/>
              </w:rPr>
            </w:pPr>
            <w:r w:rsidRPr="42A5F824">
              <w:rPr>
                <w:color w:val="000000" w:themeColor="text1"/>
              </w:rPr>
              <w:t>the percentage of all pupils who are persistently absent being below 5% and the figure among disadvantaged pupils being no more than 3% lower than their peers.</w:t>
            </w:r>
          </w:p>
        </w:tc>
      </w:tr>
      <w:tr w:rsidR="42A5F824" w14:paraId="1F35CA88" w14:textId="77777777" w:rsidTr="42A5F82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106724" w14:textId="2C7F6D88" w:rsidR="42A5F824" w:rsidRDefault="42A5F824" w:rsidP="42A5F824">
            <w:pPr>
              <w:pStyle w:val="TableRow"/>
              <w:rPr>
                <w:i/>
                <w:iCs/>
                <w:color w:val="0D0D0D" w:themeColor="text1" w:themeTint="F2"/>
              </w:rPr>
            </w:pPr>
            <w:r w:rsidRPr="42A5F824">
              <w:rPr>
                <w:i/>
                <w:iCs/>
                <w:color w:val="0D0D0D" w:themeColor="text1" w:themeTint="F2"/>
              </w:rPr>
              <w:t>Improved behaviours for learning for disadvantaged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1AF44A" w14:textId="2EB2AC80" w:rsidR="42A5F824" w:rsidRDefault="42A5F824" w:rsidP="42A5F824">
            <w:pPr>
              <w:pStyle w:val="TableRowCentered"/>
              <w:jc w:val="left"/>
              <w:rPr>
                <w:szCs w:val="24"/>
              </w:rPr>
            </w:pPr>
            <w:r w:rsidRPr="42A5F824">
              <w:rPr>
                <w:szCs w:val="24"/>
              </w:rPr>
              <w:t>By 2023-2024:</w:t>
            </w:r>
          </w:p>
          <w:p w14:paraId="73ECE843" w14:textId="1A56DABC" w:rsidR="42A5F824" w:rsidRDefault="42A5F824" w:rsidP="42A5F824">
            <w:pPr>
              <w:pStyle w:val="TableRowCentered"/>
              <w:numPr>
                <w:ilvl w:val="0"/>
                <w:numId w:val="2"/>
              </w:numPr>
              <w:ind w:left="180" w:hanging="180"/>
              <w:jc w:val="left"/>
              <w:rPr>
                <w:rFonts w:ascii="Calibri" w:eastAsia="Calibri" w:hAnsi="Calibri" w:cs="Calibri"/>
                <w:color w:val="0D0D0D" w:themeColor="text1" w:themeTint="F2"/>
                <w:szCs w:val="24"/>
              </w:rPr>
            </w:pPr>
            <w:r w:rsidRPr="42A5F824">
              <w:rPr>
                <w:color w:val="0D0D0D" w:themeColor="text1" w:themeTint="F2"/>
                <w:szCs w:val="24"/>
              </w:rPr>
              <w:t>Observations and behaviour incidents will indicate that disadvantaged pupils have strong behaviours for learning and develop in confidence by attending our school.</w:t>
            </w:r>
          </w:p>
        </w:tc>
      </w:tr>
      <w:tr w:rsidR="42A5F824" w14:paraId="7A1D237B" w14:textId="77777777" w:rsidTr="42A5F82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AC9907" w14:textId="4C8F975C" w:rsidR="42A5F824" w:rsidRDefault="42A5F824" w:rsidP="42A5F824">
            <w:pPr>
              <w:pStyle w:val="TableRow"/>
              <w:rPr>
                <w:i/>
                <w:iCs/>
                <w:color w:val="0D0D0D" w:themeColor="text1" w:themeTint="F2"/>
              </w:rPr>
            </w:pPr>
            <w:r w:rsidRPr="42A5F824">
              <w:rPr>
                <w:i/>
                <w:iCs/>
                <w:color w:val="000000" w:themeColor="text1"/>
              </w:rPr>
              <w:lastRenderedPageBreak/>
              <w:t>To achieve and sustain improved wellbeing for all pupils in our school, particularly our disadvantaged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B545B9" w14:textId="6FDEF833" w:rsidR="42A5F824" w:rsidRDefault="42A5F824" w:rsidP="42A5F824">
            <w:pPr>
              <w:pStyle w:val="TableRowCentered"/>
              <w:jc w:val="left"/>
              <w:rPr>
                <w:color w:val="0D0D0D" w:themeColor="text1" w:themeTint="F2"/>
                <w:szCs w:val="24"/>
              </w:rPr>
            </w:pPr>
            <w:r w:rsidRPr="42A5F824">
              <w:rPr>
                <w:color w:val="0D0D0D" w:themeColor="text1" w:themeTint="F2"/>
                <w:szCs w:val="24"/>
              </w:rPr>
              <w:t>By 2023-2024:</w:t>
            </w:r>
          </w:p>
          <w:p w14:paraId="4AA75C39" w14:textId="7D5A0BA9" w:rsidR="42A5F824" w:rsidRDefault="42A5F824" w:rsidP="42A5F824">
            <w:pPr>
              <w:pStyle w:val="ListParagraph"/>
              <w:numPr>
                <w:ilvl w:val="0"/>
                <w:numId w:val="1"/>
              </w:numPr>
              <w:ind w:left="270" w:hanging="270"/>
              <w:rPr>
                <w:rFonts w:ascii="Calibri" w:eastAsia="Calibri" w:hAnsi="Calibri" w:cs="Calibri"/>
                <w:color w:val="0D0D0D" w:themeColor="text1" w:themeTint="F2"/>
              </w:rPr>
            </w:pPr>
            <w:r w:rsidRPr="42A5F824">
              <w:rPr>
                <w:color w:val="000000" w:themeColor="text1"/>
              </w:rPr>
              <w:t>qualitative data from student voice, student and parent surveys and teacher observations</w:t>
            </w:r>
            <w:r w:rsidRPr="42A5F824">
              <w:t xml:space="preserve"> will indicate improved wellbeing</w:t>
            </w:r>
          </w:p>
          <w:p w14:paraId="5BCBD603" w14:textId="1D60695E" w:rsidR="42A5F824" w:rsidRDefault="42A5F824" w:rsidP="42A5F824">
            <w:pPr>
              <w:pStyle w:val="ListParagraph"/>
              <w:numPr>
                <w:ilvl w:val="0"/>
                <w:numId w:val="1"/>
              </w:numPr>
              <w:ind w:left="270" w:hanging="270"/>
              <w:rPr>
                <w:color w:val="0D0D0D" w:themeColor="text1" w:themeTint="F2"/>
              </w:rPr>
            </w:pPr>
            <w:r w:rsidRPr="42A5F824">
              <w:rPr>
                <w:color w:val="0D0D0D" w:themeColor="text1" w:themeTint="F2"/>
              </w:rPr>
              <w:t>Children will be able to speak confidently to improve their mental health and wellbeing</w:t>
            </w:r>
          </w:p>
          <w:p w14:paraId="56141218" w14:textId="42206BBE" w:rsidR="42A5F824" w:rsidRDefault="42A5F824" w:rsidP="42A5F824">
            <w:pPr>
              <w:pStyle w:val="ListParagraph"/>
              <w:numPr>
                <w:ilvl w:val="0"/>
                <w:numId w:val="1"/>
              </w:numPr>
              <w:ind w:left="270" w:hanging="270"/>
              <w:rPr>
                <w:rFonts w:ascii="Calibri" w:eastAsia="Calibri" w:hAnsi="Calibri" w:cs="Calibri"/>
                <w:color w:val="000000" w:themeColor="text1"/>
              </w:rPr>
            </w:pPr>
            <w:r w:rsidRPr="42A5F824">
              <w:rPr>
                <w:color w:val="000000" w:themeColor="text1"/>
              </w:rPr>
              <w:t>a significant increase in participation in enrichment activities, particularly among disadvantaged pupils</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CEF3B1A" w:rsidR="00E66558" w:rsidRDefault="009D71E8">
      <w:r>
        <w:t xml:space="preserve">Budgeted cost: £ </w:t>
      </w:r>
      <w:r w:rsidRPr="42A5F824">
        <w:rPr>
          <w:i/>
          <w:iCs/>
        </w:rPr>
        <w:t>10,244</w:t>
      </w:r>
    </w:p>
    <w:tbl>
      <w:tblPr>
        <w:tblW w:w="9486" w:type="dxa"/>
        <w:tblCellMar>
          <w:left w:w="10" w:type="dxa"/>
          <w:right w:w="10" w:type="dxa"/>
        </w:tblCellMar>
        <w:tblLook w:val="04A0" w:firstRow="1" w:lastRow="0" w:firstColumn="1" w:lastColumn="0" w:noHBand="0" w:noVBand="1"/>
      </w:tblPr>
      <w:tblGrid>
        <w:gridCol w:w="3256"/>
        <w:gridCol w:w="4677"/>
        <w:gridCol w:w="1553"/>
      </w:tblGrid>
      <w:tr w:rsidR="00E66558" w14:paraId="2A7D5519" w14:textId="77777777" w:rsidTr="00880920">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880920">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27DCA8" w14:textId="5E3CCCD8" w:rsidR="00E66558" w:rsidRPr="00133F58" w:rsidRDefault="42A5F824" w:rsidP="42A5F824">
            <w:pPr>
              <w:pStyle w:val="TableRow"/>
              <w:spacing w:line="259" w:lineRule="auto"/>
            </w:pPr>
            <w:r w:rsidRPr="00133F58">
              <w:t>Enhance maths curriculum and teaching of maths</w:t>
            </w:r>
          </w:p>
          <w:p w14:paraId="3329E820" w14:textId="2308165B" w:rsidR="00E66558" w:rsidRPr="00133F58" w:rsidRDefault="00E66558" w:rsidP="42A5F824">
            <w:pPr>
              <w:pStyle w:val="TableRow"/>
              <w:spacing w:line="259" w:lineRule="auto"/>
              <w:rPr>
                <w:color w:val="0D0D0D" w:themeColor="text1" w:themeTint="F2"/>
              </w:rPr>
            </w:pPr>
          </w:p>
          <w:p w14:paraId="1951D0BF" w14:textId="020CA91B" w:rsidR="00E66558" w:rsidRPr="00133F58" w:rsidRDefault="42A5F824" w:rsidP="42A5F824">
            <w:pPr>
              <w:pStyle w:val="TableRow"/>
              <w:spacing w:line="259" w:lineRule="auto"/>
              <w:rPr>
                <w:color w:val="0D0D0D" w:themeColor="text1" w:themeTint="F2"/>
              </w:rPr>
            </w:pPr>
            <w:r w:rsidRPr="00133F58">
              <w:rPr>
                <w:color w:val="0D0D0D" w:themeColor="text1" w:themeTint="F2"/>
              </w:rPr>
              <w:t>Purchase of maths resources to aid mathematical understanding</w:t>
            </w:r>
          </w:p>
          <w:p w14:paraId="2335DBEA" w14:textId="6C8C65C2" w:rsidR="00E66558" w:rsidRPr="00133F58" w:rsidRDefault="00E66558" w:rsidP="42A5F824">
            <w:pPr>
              <w:pStyle w:val="TableRow"/>
              <w:spacing w:line="259" w:lineRule="auto"/>
              <w:rPr>
                <w:color w:val="0D0D0D" w:themeColor="text1" w:themeTint="F2"/>
              </w:rPr>
            </w:pPr>
          </w:p>
          <w:p w14:paraId="44CFB72D" w14:textId="4648F1B0" w:rsidR="00E66558" w:rsidRPr="00133F58" w:rsidRDefault="42A5F824" w:rsidP="42A5F824">
            <w:pPr>
              <w:pStyle w:val="TableRow"/>
              <w:spacing w:line="259" w:lineRule="auto"/>
              <w:rPr>
                <w:color w:val="0D0D0D" w:themeColor="text1" w:themeTint="F2"/>
              </w:rPr>
            </w:pPr>
            <w:r w:rsidRPr="00133F58">
              <w:t>Investment in staff training for maths and early number development with the Maths Hub</w:t>
            </w:r>
          </w:p>
          <w:p w14:paraId="13D93903" w14:textId="48AE2516" w:rsidR="00E66558" w:rsidRPr="00133F58" w:rsidRDefault="00E66558" w:rsidP="42A5F824">
            <w:pPr>
              <w:pStyle w:val="TableRow"/>
              <w:spacing w:line="259" w:lineRule="auto"/>
              <w:rPr>
                <w:color w:val="0D0D0D" w:themeColor="text1" w:themeTint="F2"/>
              </w:rPr>
            </w:pPr>
          </w:p>
          <w:p w14:paraId="2A7D551A" w14:textId="535E1B80" w:rsidR="00E66558" w:rsidRPr="00133F58" w:rsidRDefault="42A5F824" w:rsidP="42A5F824">
            <w:pPr>
              <w:pStyle w:val="TableRow"/>
              <w:spacing w:line="259" w:lineRule="auto"/>
              <w:rPr>
                <w:color w:val="0D0D0D" w:themeColor="text1" w:themeTint="F2"/>
              </w:rPr>
            </w:pPr>
            <w:r w:rsidRPr="00133F58">
              <w:rPr>
                <w:color w:val="0D0D0D" w:themeColor="text1" w:themeTint="F2"/>
              </w:rPr>
              <w:t>Implement mastering number sessions in KS1 and EYs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728A94" w14:textId="18FE492F" w:rsidR="00AF02F4" w:rsidRPr="00AF02F4" w:rsidRDefault="00EF07D5" w:rsidP="007C2F8F">
            <w:pPr>
              <w:pStyle w:val="TableRowCentered"/>
              <w:jc w:val="left"/>
              <w:rPr>
                <w:sz w:val="22"/>
              </w:rPr>
            </w:pPr>
            <w:hyperlink r:id="rId7" w:anchor="conclusion" w:history="1">
              <w:r w:rsidR="00AF02F4" w:rsidRPr="00AF02F4">
                <w:rPr>
                  <w:rStyle w:val="Hyperlink"/>
                  <w:sz w:val="22"/>
                </w:rPr>
                <w:t>Research Review Series: Maths</w:t>
              </w:r>
            </w:hyperlink>
          </w:p>
          <w:p w14:paraId="0C49CF7C" w14:textId="6A997D8D" w:rsidR="007C2F8F" w:rsidRPr="00BF194F" w:rsidRDefault="007C2F8F" w:rsidP="007C2F8F">
            <w:pPr>
              <w:pStyle w:val="TableRowCentered"/>
              <w:jc w:val="left"/>
              <w:rPr>
                <w:szCs w:val="24"/>
              </w:rPr>
            </w:pPr>
            <w:r w:rsidRPr="00BF194F">
              <w:rPr>
                <w:szCs w:val="24"/>
              </w:rPr>
              <w:t>high-quality maths education may have the following features</w:t>
            </w:r>
          </w:p>
          <w:p w14:paraId="06A979BA" w14:textId="77777777" w:rsidR="007C2F8F" w:rsidRPr="00BF194F" w:rsidRDefault="007C2F8F" w:rsidP="007C2F8F">
            <w:pPr>
              <w:pStyle w:val="TableRowCentered"/>
              <w:jc w:val="left"/>
              <w:rPr>
                <w:szCs w:val="24"/>
              </w:rPr>
            </w:pPr>
            <w:r w:rsidRPr="00BF194F">
              <w:rPr>
                <w:szCs w:val="24"/>
              </w:rPr>
              <w:t>School-wide approaches to calculation and presentation in pupils’ books.</w:t>
            </w:r>
          </w:p>
          <w:p w14:paraId="2EAF9875" w14:textId="77777777" w:rsidR="007C2F8F" w:rsidRPr="00BF194F" w:rsidRDefault="007C2F8F" w:rsidP="007C2F8F">
            <w:pPr>
              <w:pStyle w:val="TableRowCentered"/>
              <w:jc w:val="left"/>
              <w:rPr>
                <w:szCs w:val="24"/>
              </w:rPr>
            </w:pPr>
          </w:p>
          <w:p w14:paraId="2A7D551B" w14:textId="217889B6" w:rsidR="00E66558" w:rsidRDefault="007C2F8F" w:rsidP="007C2F8F">
            <w:pPr>
              <w:pStyle w:val="TableRowCentered"/>
              <w:jc w:val="left"/>
              <w:rPr>
                <w:sz w:val="22"/>
              </w:rPr>
            </w:pPr>
            <w:r w:rsidRPr="00BF194F">
              <w:rPr>
                <w:szCs w:val="24"/>
              </w:rPr>
              <w:t>School-wide approaches to providing time and resources for teachers to develop subject knowledge and to learn valuable ways of teaching from each other.</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1B587CCC" w:rsidR="00E66558" w:rsidRDefault="42A5F824" w:rsidP="42A5F824">
            <w:pPr>
              <w:pStyle w:val="TableRowCentered"/>
              <w:jc w:val="left"/>
              <w:rPr>
                <w:sz w:val="22"/>
                <w:szCs w:val="22"/>
              </w:rPr>
            </w:pPr>
            <w:r w:rsidRPr="42A5F824">
              <w:rPr>
                <w:sz w:val="22"/>
                <w:szCs w:val="22"/>
              </w:rPr>
              <w:t>3</w:t>
            </w:r>
          </w:p>
        </w:tc>
      </w:tr>
      <w:tr w:rsidR="00E66558" w14:paraId="2A7D5521" w14:textId="77777777" w:rsidTr="00880920">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E" w14:textId="1AE09F82" w:rsidR="00DE1A08" w:rsidRPr="00133F58" w:rsidRDefault="42A5F824" w:rsidP="00DE1A08">
            <w:pPr>
              <w:pStyle w:val="TableRow"/>
            </w:pPr>
            <w:r w:rsidRPr="00133F58">
              <w:t>Investment in staff training around oral literacy and language development</w:t>
            </w:r>
            <w:r w:rsidR="00DE1A08">
              <w:t xml:space="preserve"> including ELKLAN, speech and language and NELI</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AFFC46" w14:textId="56184905" w:rsidR="009D4725" w:rsidRDefault="00EF07D5" w:rsidP="009D4725">
            <w:pPr>
              <w:pStyle w:val="NoSpacing"/>
              <w:rPr>
                <w:rFonts w:eastAsia="Arial"/>
              </w:rPr>
            </w:pPr>
            <w:hyperlink r:id="rId8" w:history="1">
              <w:r w:rsidR="009D4725" w:rsidRPr="009D4725">
                <w:rPr>
                  <w:rStyle w:val="Hyperlink"/>
                  <w:rFonts w:eastAsia="Arial"/>
                </w:rPr>
                <w:t>EEF Oral Language Interventions</w:t>
              </w:r>
            </w:hyperlink>
          </w:p>
          <w:p w14:paraId="2A7D551F" w14:textId="42412EDF" w:rsidR="00E66558" w:rsidRDefault="009D4725" w:rsidP="009D4725">
            <w:pPr>
              <w:pStyle w:val="NoSpacing"/>
              <w:rPr>
                <w:rFonts w:eastAsia="Arial"/>
              </w:rPr>
            </w:pPr>
            <w:r w:rsidRPr="009D4725">
              <w:rPr>
                <w:rFonts w:eastAsia="Arial"/>
              </w:rPr>
              <w:t>Training can support adults to ensure they model and develop pupils’ oral language skills and vocabulary development.</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4441111F" w:rsidR="00E66558" w:rsidRDefault="42A5F824" w:rsidP="42A5F824">
            <w:pPr>
              <w:pStyle w:val="TableRowCentered"/>
              <w:jc w:val="left"/>
              <w:rPr>
                <w:sz w:val="22"/>
                <w:szCs w:val="22"/>
              </w:rPr>
            </w:pPr>
            <w:r w:rsidRPr="42A5F824">
              <w:rPr>
                <w:sz w:val="22"/>
                <w:szCs w:val="22"/>
              </w:rPr>
              <w:t>2</w:t>
            </w:r>
          </w:p>
        </w:tc>
      </w:tr>
      <w:tr w:rsidR="42A5F824" w14:paraId="6DBC461B" w14:textId="77777777" w:rsidTr="00880920">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0C3B9B" w14:textId="0997FE16" w:rsidR="42A5F824" w:rsidRPr="00133F58" w:rsidRDefault="42A5F824" w:rsidP="42A5F824">
            <w:pPr>
              <w:pStyle w:val="TableRow"/>
              <w:spacing w:line="259" w:lineRule="auto"/>
              <w:rPr>
                <w:color w:val="0D0D0D" w:themeColor="text1" w:themeTint="F2"/>
              </w:rPr>
            </w:pPr>
            <w:r w:rsidRPr="00133F58">
              <w:rPr>
                <w:color w:val="000000" w:themeColor="text1"/>
              </w:rPr>
              <w:t xml:space="preserve">Purchase of a </w:t>
            </w:r>
            <w:r w:rsidRPr="00133F58">
              <w:t>DfE validated Systematic synthetic phonics programme (SSP)</w:t>
            </w:r>
            <w:r w:rsidRPr="00133F58">
              <w:rPr>
                <w:color w:val="000000" w:themeColor="text1"/>
              </w:rPr>
              <w:t xml:space="preserve"> to secure stronger phonics teaching for all pupils.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D5ECFC" w14:textId="67C3D21D" w:rsidR="42A5F824" w:rsidRDefault="00EF07D5" w:rsidP="42A5F824">
            <w:pPr>
              <w:pStyle w:val="TableRowCentered"/>
              <w:jc w:val="left"/>
              <w:rPr>
                <w:color w:val="0D0D0D" w:themeColor="text1" w:themeTint="F2"/>
                <w:szCs w:val="24"/>
              </w:rPr>
            </w:pPr>
            <w:hyperlink r:id="rId9" w:history="1">
              <w:r w:rsidR="00EF47CF" w:rsidRPr="006A17F3">
                <w:rPr>
                  <w:rStyle w:val="Hyperlink"/>
                  <w:szCs w:val="24"/>
                </w:rPr>
                <w:t>DfE Choosing a phonics teaching programme</w:t>
              </w:r>
            </w:hyperlink>
          </w:p>
          <w:p w14:paraId="189BA3CC" w14:textId="78963CE9" w:rsidR="00DC28B3" w:rsidRDefault="00EF07D5" w:rsidP="42A5F824">
            <w:pPr>
              <w:pStyle w:val="TableRowCentered"/>
              <w:jc w:val="left"/>
              <w:rPr>
                <w:color w:val="0D0D0D" w:themeColor="text1" w:themeTint="F2"/>
                <w:szCs w:val="24"/>
              </w:rPr>
            </w:pPr>
            <w:hyperlink r:id="rId10" w:history="1">
              <w:r w:rsidR="00DC28B3" w:rsidRPr="00DC28B3">
                <w:rPr>
                  <w:rStyle w:val="Hyperlink"/>
                  <w:szCs w:val="24"/>
                </w:rPr>
                <w:t>EEF Phonics</w:t>
              </w:r>
            </w:hyperlink>
          </w:p>
          <w:p w14:paraId="6BA12027" w14:textId="1D77C30D" w:rsidR="00EF47CF" w:rsidRDefault="0040135B" w:rsidP="42A5F824">
            <w:pPr>
              <w:pStyle w:val="TableRowCentered"/>
              <w:jc w:val="left"/>
              <w:rPr>
                <w:color w:val="0D0D0D" w:themeColor="text1" w:themeTint="F2"/>
                <w:szCs w:val="24"/>
              </w:rPr>
            </w:pPr>
            <w:r>
              <w:rPr>
                <w:color w:val="0D0D0D" w:themeColor="text1" w:themeTint="F2"/>
                <w:szCs w:val="24"/>
              </w:rPr>
              <w:t>S</w:t>
            </w:r>
            <w:r w:rsidRPr="0040135B">
              <w:rPr>
                <w:color w:val="0D0D0D" w:themeColor="text1" w:themeTint="F2"/>
                <w:szCs w:val="24"/>
              </w:rPr>
              <w:t>chools take an approach that is rigorous, systematic, used with fidelity (any resources used should exactly match the Grapheme Phoneme Correspondence (GPC) progression of their chosen SSP approach), and achieves strong results for all pupils, including the most disadvantaged.</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3C9221" w14:textId="64FC4145" w:rsidR="42A5F824" w:rsidRDefault="42A5F824" w:rsidP="42A5F824">
            <w:pPr>
              <w:pStyle w:val="TableRowCentered"/>
              <w:jc w:val="left"/>
              <w:rPr>
                <w:color w:val="0D0D0D" w:themeColor="text1" w:themeTint="F2"/>
                <w:szCs w:val="24"/>
              </w:rPr>
            </w:pPr>
            <w:r w:rsidRPr="42A5F824">
              <w:rPr>
                <w:color w:val="0D0D0D" w:themeColor="text1" w:themeTint="F2"/>
                <w:szCs w:val="24"/>
              </w:rPr>
              <w:t>1</w:t>
            </w:r>
          </w:p>
        </w:tc>
      </w:tr>
      <w:tr w:rsidR="42A5F824" w14:paraId="06828D90" w14:textId="77777777" w:rsidTr="00880920">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1BD831" w14:textId="4FBBDBE9" w:rsidR="42A5F824" w:rsidRPr="00133F58" w:rsidRDefault="42A5F824" w:rsidP="42A5F824">
            <w:pPr>
              <w:pStyle w:val="TableRow"/>
              <w:rPr>
                <w:color w:val="0D0D0D" w:themeColor="text1" w:themeTint="F2"/>
              </w:rPr>
            </w:pPr>
            <w:r w:rsidRPr="00133F58">
              <w:rPr>
                <w:color w:val="0D0D0D" w:themeColor="text1" w:themeTint="F2"/>
              </w:rPr>
              <w:t xml:space="preserve">Purchase PIRA &amp; PUMA diagnostic tests to ensure </w:t>
            </w:r>
            <w:r w:rsidRPr="00133F58">
              <w:rPr>
                <w:color w:val="0D0D0D" w:themeColor="text1" w:themeTint="F2"/>
              </w:rPr>
              <w:lastRenderedPageBreak/>
              <w:t>robust methods of assessment and gap analysis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146DB5" w14:textId="77777777" w:rsidR="00133F58" w:rsidRDefault="00EF07D5" w:rsidP="00133F58">
            <w:pPr>
              <w:pStyle w:val="TableRowCentered"/>
              <w:jc w:val="left"/>
              <w:rPr>
                <w:color w:val="0D0D0D" w:themeColor="text1" w:themeTint="F2"/>
                <w:szCs w:val="24"/>
              </w:rPr>
            </w:pPr>
            <w:hyperlink r:id="rId11" w:history="1">
              <w:r w:rsidR="00133F58" w:rsidRPr="00133F58">
                <w:rPr>
                  <w:rStyle w:val="Hyperlink"/>
                  <w:szCs w:val="24"/>
                </w:rPr>
                <w:t>EEF Guide to the Pupil Premium</w:t>
              </w:r>
            </w:hyperlink>
          </w:p>
          <w:p w14:paraId="6E98F412" w14:textId="2EC18CFA" w:rsidR="42A5F824" w:rsidRDefault="00133F58" w:rsidP="00133F58">
            <w:pPr>
              <w:pStyle w:val="TableRowCentered"/>
              <w:jc w:val="left"/>
              <w:rPr>
                <w:color w:val="0D0D0D" w:themeColor="text1" w:themeTint="F2"/>
                <w:szCs w:val="24"/>
              </w:rPr>
            </w:pPr>
            <w:r w:rsidRPr="42A5F824">
              <w:rPr>
                <w:color w:val="0D0D0D" w:themeColor="text1" w:themeTint="F2"/>
                <w:szCs w:val="24"/>
              </w:rPr>
              <w:lastRenderedPageBreak/>
              <w:t>Gaining a thorough knowledge of your disadvantaged pupils levels of attainment is the first step in developing an effective pupil premium strategy.</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14CA8C" w14:textId="1DDA4B34" w:rsidR="42A5F824" w:rsidRDefault="42A5F824" w:rsidP="42A5F824">
            <w:pPr>
              <w:pStyle w:val="TableRowCentered"/>
              <w:jc w:val="left"/>
              <w:rPr>
                <w:color w:val="0D0D0D" w:themeColor="text1" w:themeTint="F2"/>
                <w:szCs w:val="24"/>
              </w:rPr>
            </w:pPr>
            <w:r w:rsidRPr="42A5F824">
              <w:rPr>
                <w:color w:val="0D0D0D" w:themeColor="text1" w:themeTint="F2"/>
                <w:szCs w:val="24"/>
              </w:rPr>
              <w:lastRenderedPageBreak/>
              <w:t>1 and 3</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0F2D9D6" w:rsidR="00E66558" w:rsidRDefault="009D71E8">
      <w:r>
        <w:t xml:space="preserve">Budgeted cost: £ </w:t>
      </w:r>
      <w:r w:rsidRPr="42A5F824">
        <w:rPr>
          <w:i/>
          <w:iCs/>
        </w:rPr>
        <w:t>9,800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30C703E2" w:rsidR="00E66558" w:rsidRPr="00D60827" w:rsidRDefault="0052337C">
            <w:pPr>
              <w:pStyle w:val="TableRow"/>
            </w:pPr>
            <w:r w:rsidRPr="00D60827">
              <w:t>Additional phonics sessions targeted at disadvantaged pupils who have fallen behind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283D0" w14:textId="77777777" w:rsidR="00E66558" w:rsidRPr="00D60827" w:rsidRDefault="00EF07D5">
            <w:pPr>
              <w:pStyle w:val="TableRowCentered"/>
              <w:jc w:val="left"/>
              <w:rPr>
                <w:szCs w:val="24"/>
              </w:rPr>
            </w:pPr>
            <w:hyperlink r:id="rId12" w:history="1">
              <w:r w:rsidR="00A53E12" w:rsidRPr="00D60827">
                <w:rPr>
                  <w:rStyle w:val="Hyperlink"/>
                  <w:szCs w:val="24"/>
                </w:rPr>
                <w:t>EEF Phonics</w:t>
              </w:r>
            </w:hyperlink>
          </w:p>
          <w:p w14:paraId="2A7D552A" w14:textId="32D33935" w:rsidR="00D60827" w:rsidRPr="00D60827" w:rsidRDefault="00D60827">
            <w:pPr>
              <w:pStyle w:val="TableRowCentered"/>
              <w:jc w:val="left"/>
              <w:rPr>
                <w:szCs w:val="24"/>
              </w:rPr>
            </w:pPr>
            <w:r w:rsidRPr="00D60827">
              <w:rPr>
                <w:szCs w:val="24"/>
              </w:rPr>
              <w:t>Most studies of phonics are of intensive support in small groups and one to one with the aim to supporting pupils to catch up with their peers. The effects of one to one tends to be a little higher (+5 months) compared with small group interventions (+4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9643796" w:rsidR="00E66558" w:rsidRPr="00D60827" w:rsidRDefault="00C3573B">
            <w:pPr>
              <w:pStyle w:val="TableRowCentered"/>
              <w:jc w:val="left"/>
              <w:rPr>
                <w:szCs w:val="24"/>
              </w:rPr>
            </w:pPr>
            <w:r w:rsidRPr="00D60827">
              <w:rPr>
                <w:szCs w:val="24"/>
              </w:rPr>
              <w:t>1</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43607FB" w:rsidR="00E66558" w:rsidRPr="00D60827" w:rsidRDefault="00C3573B">
            <w:pPr>
              <w:pStyle w:val="TableRow"/>
            </w:pPr>
            <w:r w:rsidRPr="00D60827">
              <w:t xml:space="preserve">Pupil premium champion and mentor to develop </w:t>
            </w:r>
            <w:r w:rsidR="00C73956" w:rsidRPr="00D60827">
              <w:t xml:space="preserve">pupils both in class and through targeted </w:t>
            </w:r>
            <w:r w:rsidR="003A6C09" w:rsidRPr="00D60827">
              <w:t>intervention including speech and language, maths and phonics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791FC" w14:textId="77777777" w:rsidR="00E66558" w:rsidRPr="00893E5F" w:rsidRDefault="00EF07D5">
            <w:pPr>
              <w:pStyle w:val="TableRowCentered"/>
              <w:jc w:val="left"/>
              <w:rPr>
                <w:rFonts w:cs="Arial"/>
                <w:szCs w:val="24"/>
              </w:rPr>
            </w:pPr>
            <w:hyperlink r:id="rId13" w:history="1">
              <w:r w:rsidR="006B458D" w:rsidRPr="00893E5F">
                <w:rPr>
                  <w:rStyle w:val="Hyperlink"/>
                  <w:rFonts w:cs="Arial"/>
                  <w:szCs w:val="24"/>
                </w:rPr>
                <w:t>EEF Oral Language Interventions</w:t>
              </w:r>
            </w:hyperlink>
          </w:p>
          <w:p w14:paraId="404BE617" w14:textId="77777777" w:rsidR="00206AF7" w:rsidRPr="00893E5F" w:rsidRDefault="00206AF7">
            <w:pPr>
              <w:pStyle w:val="TableRowCentered"/>
              <w:jc w:val="left"/>
              <w:rPr>
                <w:rFonts w:cs="Arial"/>
                <w:szCs w:val="24"/>
              </w:rPr>
            </w:pPr>
            <w:r w:rsidRPr="00893E5F">
              <w:rPr>
                <w:rFonts w:cs="Arial"/>
                <w:szCs w:val="24"/>
              </w:rPr>
              <w:t>On average, oral language approaches have a high impact on pupil outcomes of 6 months’ additional progress.</w:t>
            </w:r>
          </w:p>
          <w:p w14:paraId="30D36FC9" w14:textId="5C3A1274" w:rsidR="00893E5F" w:rsidRPr="00893E5F" w:rsidRDefault="00893E5F">
            <w:pPr>
              <w:pStyle w:val="TableRowCentered"/>
              <w:jc w:val="left"/>
              <w:rPr>
                <w:rFonts w:cs="Arial"/>
                <w:szCs w:val="24"/>
              </w:rPr>
            </w:pPr>
            <w:r w:rsidRPr="00893E5F">
              <w:rPr>
                <w:rFonts w:cs="Arial"/>
                <w:color w:val="263238"/>
                <w:szCs w:val="24"/>
                <w:shd w:val="clear" w:color="auto" w:fill="FFFFFF"/>
              </w:rPr>
              <w:t>Most of the studies focus on reading outcomes. The small amount of studies that do study maths and science show small positive effects. Language approaches in these subjects may be used to explicitly practice subject specific vocabulary.</w:t>
            </w:r>
          </w:p>
          <w:p w14:paraId="2D9B0126" w14:textId="77777777" w:rsidR="00206AF7" w:rsidRDefault="00EF07D5">
            <w:pPr>
              <w:pStyle w:val="TableRowCentered"/>
              <w:jc w:val="left"/>
              <w:rPr>
                <w:sz w:val="22"/>
              </w:rPr>
            </w:pPr>
            <w:hyperlink r:id="rId14" w:history="1">
              <w:r w:rsidR="005668BD" w:rsidRPr="008026B5">
                <w:rPr>
                  <w:rStyle w:val="Hyperlink"/>
                  <w:sz w:val="22"/>
                </w:rPr>
                <w:t>EEF 1 to 1 Tuition</w:t>
              </w:r>
            </w:hyperlink>
          </w:p>
          <w:p w14:paraId="2A7D552E" w14:textId="07D0C88A" w:rsidR="008026B5" w:rsidRDefault="008026B5">
            <w:pPr>
              <w:pStyle w:val="TableRowCentered"/>
              <w:jc w:val="left"/>
              <w:rPr>
                <w:sz w:val="22"/>
              </w:rPr>
            </w:pPr>
            <w:r w:rsidRPr="008026B5">
              <w:rPr>
                <w:sz w:val="22"/>
              </w:rPr>
              <w:t>On average, one to one tuition is very effective at improving pupil outcomes. One to one tuition might be an effective strategy for providing targeted support for pupils that are identified as having low prior attainment or are struggling in particular areas.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053F2868" w:rsidR="00E66558" w:rsidRDefault="003A6C09">
            <w:pPr>
              <w:pStyle w:val="TableRowCentered"/>
              <w:jc w:val="left"/>
              <w:rPr>
                <w:sz w:val="22"/>
              </w:rPr>
            </w:pPr>
            <w:r>
              <w:rPr>
                <w:sz w:val="22"/>
              </w:rPr>
              <w:t>1, 2, 3, 5 and 6</w:t>
            </w:r>
          </w:p>
        </w:tc>
      </w:tr>
      <w:tr w:rsidR="003A6C09" w14:paraId="35853D2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172F5" w14:textId="0D38F030" w:rsidR="003A6C09" w:rsidRPr="00D60827" w:rsidRDefault="00266943">
            <w:pPr>
              <w:pStyle w:val="TableRow"/>
            </w:pPr>
            <w:r w:rsidRPr="00D60827">
              <w:t xml:space="preserve">Implement NELI within Reception focusing on early identification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8CC07" w14:textId="3E770E11" w:rsidR="003A6C09" w:rsidRPr="0045202E" w:rsidRDefault="00EF07D5">
            <w:pPr>
              <w:pStyle w:val="TableRowCentered"/>
              <w:jc w:val="left"/>
              <w:rPr>
                <w:rFonts w:cs="Arial"/>
                <w:sz w:val="22"/>
                <w:szCs w:val="22"/>
              </w:rPr>
            </w:pPr>
            <w:hyperlink r:id="rId15" w:history="1">
              <w:r w:rsidR="00EE056C" w:rsidRPr="0045202E">
                <w:rPr>
                  <w:rStyle w:val="Hyperlink"/>
                  <w:rFonts w:cs="Arial"/>
                  <w:sz w:val="22"/>
                  <w:szCs w:val="22"/>
                </w:rPr>
                <w:t>EEF NELI Training Model</w:t>
              </w:r>
            </w:hyperlink>
          </w:p>
          <w:p w14:paraId="2443EE08" w14:textId="5BFFC272" w:rsidR="00EE056C" w:rsidRPr="0045202E" w:rsidRDefault="00EE056C" w:rsidP="0045202E">
            <w:pPr>
              <w:pStyle w:val="TableRowCentered"/>
              <w:jc w:val="left"/>
              <w:rPr>
                <w:rFonts w:cs="Arial"/>
                <w:sz w:val="22"/>
                <w:szCs w:val="22"/>
              </w:rPr>
            </w:pPr>
            <w:r w:rsidRPr="0045202E">
              <w:rPr>
                <w:rFonts w:cs="Arial"/>
                <w:sz w:val="22"/>
                <w:szCs w:val="22"/>
              </w:rPr>
              <w:t>We are part of this training model currently</w:t>
            </w:r>
            <w:r w:rsidR="0045202E" w:rsidRPr="0045202E">
              <w:rPr>
                <w:rFonts w:cs="Arial"/>
                <w:sz w:val="22"/>
                <w:szCs w:val="22"/>
              </w:rPr>
              <w:t xml:space="preserve">. </w:t>
            </w:r>
            <w:r w:rsidR="0045202E" w:rsidRPr="0045202E">
              <w:rPr>
                <w:rFonts w:cs="Arial"/>
                <w:color w:val="263238"/>
                <w:sz w:val="22"/>
                <w:szCs w:val="22"/>
                <w:shd w:val="clear" w:color="auto" w:fill="FFFFFF"/>
              </w:rPr>
              <w:t>NELI has demonstrated its potential to support young pupils in need of support with spoken language.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F7841" w14:textId="4C1E93B0" w:rsidR="003A6C09" w:rsidRDefault="00EE3B18">
            <w:pPr>
              <w:pStyle w:val="TableRowCentered"/>
              <w:jc w:val="left"/>
              <w:rPr>
                <w:sz w:val="22"/>
              </w:rPr>
            </w:pPr>
            <w:r>
              <w:rPr>
                <w:sz w:val="22"/>
              </w:rPr>
              <w:t>2</w:t>
            </w:r>
          </w:p>
        </w:tc>
      </w:tr>
      <w:tr w:rsidR="00C73956" w14:paraId="266880A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0153F" w14:textId="515F6107" w:rsidR="00C73956" w:rsidRPr="00D60827" w:rsidRDefault="00C73956">
            <w:pPr>
              <w:pStyle w:val="TableRow"/>
            </w:pPr>
            <w:r w:rsidRPr="00D60827">
              <w:lastRenderedPageBreak/>
              <w:t>Maths tuition through the National Tutoring programme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8A7F6" w14:textId="77777777" w:rsidR="00C73956" w:rsidRPr="0045202E" w:rsidRDefault="00EF07D5">
            <w:pPr>
              <w:pStyle w:val="TableRowCentered"/>
              <w:jc w:val="left"/>
              <w:rPr>
                <w:rFonts w:cs="Arial"/>
                <w:sz w:val="22"/>
                <w:szCs w:val="22"/>
              </w:rPr>
            </w:pPr>
            <w:hyperlink r:id="rId16" w:history="1">
              <w:r w:rsidR="004400F3" w:rsidRPr="0045202E">
                <w:rPr>
                  <w:rStyle w:val="Hyperlink"/>
                  <w:rFonts w:cs="Arial"/>
                  <w:sz w:val="22"/>
                  <w:szCs w:val="22"/>
                </w:rPr>
                <w:t>EEF Small Group Tuition</w:t>
              </w:r>
            </w:hyperlink>
          </w:p>
          <w:p w14:paraId="2FEBFD09" w14:textId="1784CF68" w:rsidR="00527A3C" w:rsidRPr="0045202E" w:rsidRDefault="00527A3C">
            <w:pPr>
              <w:pStyle w:val="TableRowCentered"/>
              <w:jc w:val="left"/>
              <w:rPr>
                <w:rFonts w:cs="Arial"/>
                <w:sz w:val="22"/>
                <w:szCs w:val="22"/>
              </w:rPr>
            </w:pPr>
            <w:r w:rsidRPr="0045202E">
              <w:rPr>
                <w:rFonts w:cs="Arial"/>
                <w:sz w:val="22"/>
                <w:szCs w:val="22"/>
              </w:rPr>
              <w:t>One to one tuition and small group tuition are both effective interventions. However, the cost effectiveness of teaching in small groups indicates that greater use of this approach may be worthwhile.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7125F" w14:textId="6B0CC806" w:rsidR="00C73956" w:rsidRDefault="00F43E6F">
            <w:pPr>
              <w:pStyle w:val="TableRowCentered"/>
              <w:jc w:val="left"/>
              <w:rPr>
                <w:sz w:val="22"/>
              </w:rPr>
            </w:pPr>
            <w:r>
              <w:rPr>
                <w:sz w:val="22"/>
              </w:rPr>
              <w:t>3</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4FBAC62C" w:rsidR="00E66558" w:rsidRDefault="009D71E8">
      <w:pPr>
        <w:spacing w:before="240" w:after="120"/>
      </w:pPr>
      <w:r>
        <w:t xml:space="preserve">Budgeted cost: £ </w:t>
      </w:r>
      <w:r w:rsidRPr="42A5F824">
        <w:rPr>
          <w:i/>
          <w:iCs/>
        </w:rPr>
        <w:t>6,700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51A7C" w14:textId="77777777" w:rsidR="00E66558" w:rsidRPr="001E48A1" w:rsidRDefault="00AD0DA0">
            <w:pPr>
              <w:pStyle w:val="TableRow"/>
            </w:pPr>
            <w:r w:rsidRPr="001E48A1">
              <w:t>Staff training on Restorative Justice in line with our vision and plans for behaviour management</w:t>
            </w:r>
          </w:p>
          <w:p w14:paraId="3ECA9EBF" w14:textId="77777777" w:rsidR="009B0BA0" w:rsidRPr="001E48A1" w:rsidRDefault="009B0BA0">
            <w:pPr>
              <w:pStyle w:val="TableRow"/>
            </w:pPr>
          </w:p>
          <w:p w14:paraId="2A7D5538" w14:textId="75AB529B" w:rsidR="009B0BA0" w:rsidRPr="001E48A1" w:rsidRDefault="009B0BA0">
            <w:pPr>
              <w:pStyle w:val="TableRow"/>
            </w:pPr>
            <w:r w:rsidRPr="001E48A1">
              <w:t>Pupil Premium champion to work with pupils within the classroom, developing self-esteem and confidence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5A5AC" w14:textId="77777777" w:rsidR="00E66558" w:rsidRPr="001E48A1" w:rsidRDefault="00EF07D5">
            <w:pPr>
              <w:pStyle w:val="TableRowCentered"/>
              <w:jc w:val="left"/>
              <w:rPr>
                <w:szCs w:val="24"/>
              </w:rPr>
            </w:pPr>
            <w:hyperlink r:id="rId17" w:history="1">
              <w:r w:rsidR="008A1BC4" w:rsidRPr="001E48A1">
                <w:rPr>
                  <w:rStyle w:val="Hyperlink"/>
                  <w:szCs w:val="24"/>
                </w:rPr>
                <w:t>EEF Learning Behaviours</w:t>
              </w:r>
            </w:hyperlink>
          </w:p>
          <w:p w14:paraId="6AF6F508" w14:textId="77777777" w:rsidR="003F3560" w:rsidRPr="001E48A1" w:rsidRDefault="003F3560">
            <w:pPr>
              <w:pStyle w:val="TableRowCentered"/>
              <w:jc w:val="left"/>
              <w:rPr>
                <w:szCs w:val="24"/>
              </w:rPr>
            </w:pPr>
          </w:p>
          <w:p w14:paraId="5CD3C48D" w14:textId="77777777" w:rsidR="003F3560" w:rsidRPr="001E48A1" w:rsidRDefault="00EF07D5">
            <w:pPr>
              <w:pStyle w:val="TableRowCentered"/>
              <w:jc w:val="left"/>
              <w:rPr>
                <w:szCs w:val="24"/>
              </w:rPr>
            </w:pPr>
            <w:hyperlink r:id="rId18" w:history="1">
              <w:r w:rsidR="003F3560" w:rsidRPr="001E48A1">
                <w:rPr>
                  <w:rStyle w:val="Hyperlink"/>
                  <w:szCs w:val="24"/>
                </w:rPr>
                <w:t>EEF Behaviour Interventions</w:t>
              </w:r>
            </w:hyperlink>
          </w:p>
          <w:p w14:paraId="2A7D5539" w14:textId="7671A8EC" w:rsidR="001E48A1" w:rsidRPr="001E48A1" w:rsidRDefault="001E48A1">
            <w:pPr>
              <w:pStyle w:val="TableRowCentered"/>
              <w:jc w:val="left"/>
              <w:rPr>
                <w:szCs w:val="24"/>
              </w:rPr>
            </w:pPr>
            <w:r w:rsidRPr="001E48A1">
              <w:rPr>
                <w:szCs w:val="24"/>
              </w:rPr>
              <w:t>Both targeted interventions and universal approaches have positive overall effects (+ 4 months). Schools should consider the appropriate combination of behaviour approaches to reduce overall disruption and provide tailored support where required.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534FB03" w:rsidR="00E66558" w:rsidRPr="001E48A1" w:rsidRDefault="009B0BA0">
            <w:pPr>
              <w:pStyle w:val="TableRowCentered"/>
              <w:jc w:val="left"/>
              <w:rPr>
                <w:szCs w:val="24"/>
              </w:rPr>
            </w:pPr>
            <w:r w:rsidRPr="001E48A1">
              <w:rPr>
                <w:szCs w:val="24"/>
              </w:rPr>
              <w:t>5 and</w:t>
            </w:r>
            <w:r w:rsidR="00753BFF" w:rsidRPr="001E48A1">
              <w:rPr>
                <w:szCs w:val="24"/>
              </w:rPr>
              <w:t xml:space="preserve"> 6</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8C9B3" w14:textId="10565B0E" w:rsidR="001F168D" w:rsidRPr="001E48A1" w:rsidRDefault="001F168D">
            <w:pPr>
              <w:pStyle w:val="TableRow"/>
            </w:pPr>
            <w:r w:rsidRPr="001E48A1">
              <w:t>Emotional Literacy Support Assistant time to be allocated to disadvantaged pupils</w:t>
            </w:r>
          </w:p>
          <w:p w14:paraId="1A0F28C6" w14:textId="77777777" w:rsidR="001F168D" w:rsidRPr="001E48A1" w:rsidRDefault="001F168D">
            <w:pPr>
              <w:pStyle w:val="TableRow"/>
            </w:pPr>
          </w:p>
          <w:p w14:paraId="33894EAD" w14:textId="77777777" w:rsidR="00E66558" w:rsidRPr="001E48A1" w:rsidRDefault="001F168D">
            <w:pPr>
              <w:pStyle w:val="TableRow"/>
            </w:pPr>
            <w:r w:rsidRPr="001E48A1">
              <w:t>Subscription to ELSA website and resources</w:t>
            </w:r>
          </w:p>
          <w:p w14:paraId="3FD1CB73" w14:textId="77777777" w:rsidR="00596B2D" w:rsidRPr="001E48A1" w:rsidRDefault="00596B2D">
            <w:pPr>
              <w:pStyle w:val="TableRow"/>
            </w:pPr>
          </w:p>
          <w:p w14:paraId="2A7D553C" w14:textId="32577653" w:rsidR="00596B2D" w:rsidRPr="001E48A1" w:rsidRDefault="00596B2D">
            <w:pPr>
              <w:pStyle w:val="TableRow"/>
            </w:pPr>
            <w:r w:rsidRPr="001E48A1">
              <w:t>Embed whole school strategy for mental health and wellbeing including training for mental health first aiders as well as working with mental health support team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3D457" w14:textId="77777777" w:rsidR="00E66558" w:rsidRPr="001E48A1" w:rsidRDefault="00EF07D5">
            <w:pPr>
              <w:pStyle w:val="TableRowCentered"/>
              <w:jc w:val="left"/>
              <w:rPr>
                <w:szCs w:val="24"/>
              </w:rPr>
            </w:pPr>
            <w:hyperlink r:id="rId19" w:history="1">
              <w:r w:rsidR="00F7688D" w:rsidRPr="001E48A1">
                <w:rPr>
                  <w:rStyle w:val="Hyperlink"/>
                  <w:szCs w:val="24"/>
                </w:rPr>
                <w:t>EEF Social and Emotional Learning</w:t>
              </w:r>
            </w:hyperlink>
          </w:p>
          <w:p w14:paraId="2A7D553D" w14:textId="0D2BB23D" w:rsidR="00845ADF" w:rsidRPr="001E48A1" w:rsidRDefault="00845ADF">
            <w:pPr>
              <w:pStyle w:val="TableRowCentered"/>
              <w:jc w:val="left"/>
              <w:rPr>
                <w:szCs w:val="24"/>
              </w:rPr>
            </w:pPr>
            <w:r w:rsidRPr="001E48A1">
              <w:rPr>
                <w:szCs w:val="24"/>
              </w:rPr>
              <w:t>Social and emotional learning approaches have a positive impact, on average, of 4 months’ additional progress in academic outcomes over the course of an academic year. This finding, however, has very low security, so schools should be especially careful to monitor the efficacy of SEL approaches in their settings.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C673D91" w:rsidR="00E66558" w:rsidRPr="001E48A1" w:rsidRDefault="00753BFF">
            <w:pPr>
              <w:pStyle w:val="TableRowCentered"/>
              <w:jc w:val="left"/>
              <w:rPr>
                <w:szCs w:val="24"/>
              </w:rPr>
            </w:pPr>
            <w:r w:rsidRPr="001E48A1">
              <w:rPr>
                <w:szCs w:val="24"/>
              </w:rPr>
              <w:t>5 and 6</w:t>
            </w:r>
          </w:p>
        </w:tc>
      </w:tr>
      <w:tr w:rsidR="001F168D" w14:paraId="11ED020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9CA47" w14:textId="37B5D693" w:rsidR="001F168D" w:rsidRPr="009B0BA0" w:rsidRDefault="001F168D">
            <w:pPr>
              <w:pStyle w:val="TableRow"/>
            </w:pPr>
            <w:r w:rsidRPr="009B0BA0">
              <w:lastRenderedPageBreak/>
              <w:t xml:space="preserve">Embed good practice for attendance through working </w:t>
            </w:r>
            <w:r w:rsidR="001E48A1" w:rsidRPr="009B0BA0">
              <w:t>closely</w:t>
            </w:r>
            <w:r w:rsidRPr="009B0BA0">
              <w:t xml:space="preserve"> with EWO and reviewing attendance procedures</w:t>
            </w:r>
          </w:p>
          <w:p w14:paraId="07D4568E" w14:textId="77777777" w:rsidR="001F168D" w:rsidRPr="009B0BA0" w:rsidRDefault="001F168D">
            <w:pPr>
              <w:pStyle w:val="TableRow"/>
            </w:pPr>
          </w:p>
          <w:p w14:paraId="35B291E3" w14:textId="09951C11" w:rsidR="001F168D" w:rsidRPr="009B0BA0" w:rsidRDefault="001F168D">
            <w:pPr>
              <w:pStyle w:val="TableRow"/>
            </w:pPr>
            <w:r w:rsidRPr="009B0BA0">
              <w:t xml:space="preserve">Working with families </w:t>
            </w:r>
            <w:r w:rsidR="00596B2D" w:rsidRPr="009B0BA0">
              <w:t>through early help and external agencies for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791EB" w14:textId="77777777" w:rsidR="001F168D" w:rsidRDefault="00EF07D5">
            <w:pPr>
              <w:pStyle w:val="TableRowCentered"/>
              <w:jc w:val="left"/>
              <w:rPr>
                <w:sz w:val="22"/>
              </w:rPr>
            </w:pPr>
            <w:hyperlink r:id="rId20" w:history="1">
              <w:r w:rsidR="002F7ACF" w:rsidRPr="002F7ACF">
                <w:rPr>
                  <w:rStyle w:val="Hyperlink"/>
                  <w:sz w:val="22"/>
                </w:rPr>
                <w:t>DfE Improving School Attendance</w:t>
              </w:r>
            </w:hyperlink>
          </w:p>
          <w:p w14:paraId="096EADA3" w14:textId="77777777" w:rsidR="00D16FE8" w:rsidRPr="00D16FE8" w:rsidRDefault="00D16FE8" w:rsidP="00D16FE8">
            <w:pPr>
              <w:pStyle w:val="TableRowCentered"/>
              <w:numPr>
                <w:ilvl w:val="0"/>
                <w:numId w:val="7"/>
              </w:numPr>
              <w:jc w:val="left"/>
              <w:rPr>
                <w:sz w:val="22"/>
              </w:rPr>
            </w:pPr>
            <w:r w:rsidRPr="00D16FE8">
              <w:rPr>
                <w:sz w:val="22"/>
              </w:rPr>
              <w:t>Use attendance, pastoral and SEND staff who are skilled in supporting pupils and their families to identify and overcome barriers to attendance.</w:t>
            </w:r>
          </w:p>
          <w:p w14:paraId="7608024E" w14:textId="1CD7DBD9" w:rsidR="00D16FE8" w:rsidRPr="00D16FE8" w:rsidRDefault="00D16FE8" w:rsidP="00D16FE8">
            <w:pPr>
              <w:pStyle w:val="TableRowCentered"/>
              <w:numPr>
                <w:ilvl w:val="0"/>
                <w:numId w:val="7"/>
              </w:numPr>
              <w:jc w:val="left"/>
              <w:rPr>
                <w:sz w:val="22"/>
              </w:rPr>
            </w:pPr>
            <w:r w:rsidRPr="00D16FE8">
              <w:rPr>
                <w:sz w:val="22"/>
              </w:rPr>
              <w:t>Create action plans in partnership with families and other agencies that may be supporting families, for example, children’s social care and early help services. Commission or deliver interventions to improve attendance.</w:t>
            </w:r>
          </w:p>
          <w:p w14:paraId="1E9374C1" w14:textId="77345FAE" w:rsidR="00D16FE8" w:rsidRDefault="00D16FE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2C7F0" w14:textId="10C69E91" w:rsidR="001F168D" w:rsidRDefault="00753BFF">
            <w:pPr>
              <w:pStyle w:val="TableRowCentered"/>
              <w:jc w:val="left"/>
              <w:rPr>
                <w:sz w:val="22"/>
              </w:rPr>
            </w:pPr>
            <w:r>
              <w:rPr>
                <w:sz w:val="22"/>
              </w:rPr>
              <w:t>4 and 6</w:t>
            </w:r>
          </w:p>
        </w:tc>
      </w:tr>
    </w:tbl>
    <w:p w14:paraId="2A7D5540" w14:textId="77777777" w:rsidR="00E66558" w:rsidRDefault="00E66558">
      <w:pPr>
        <w:spacing w:before="240" w:after="0"/>
        <w:rPr>
          <w:b/>
          <w:bCs/>
          <w:color w:val="104F75"/>
          <w:sz w:val="28"/>
          <w:szCs w:val="28"/>
        </w:rPr>
      </w:pPr>
    </w:p>
    <w:p w14:paraId="2A7D5541" w14:textId="435D1CD1" w:rsidR="00E66558" w:rsidRDefault="009D71E8" w:rsidP="00120AB1">
      <w:r>
        <w:rPr>
          <w:b/>
          <w:bCs/>
          <w:color w:val="104F75"/>
          <w:sz w:val="28"/>
          <w:szCs w:val="28"/>
        </w:rPr>
        <w:t>Total budgeted cost: £</w:t>
      </w:r>
      <w:r w:rsidR="00CB41B9">
        <w:rPr>
          <w:b/>
          <w:bCs/>
          <w:color w:val="104F75"/>
          <w:sz w:val="28"/>
          <w:szCs w:val="28"/>
        </w:rPr>
        <w:t>23,674</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6" w14:textId="5B7B7227" w:rsidR="00E66558" w:rsidRPr="00FE6C6C" w:rsidRDefault="006027FC">
            <w:pPr>
              <w:rPr>
                <w:iCs/>
              </w:rPr>
            </w:pPr>
            <w:r w:rsidRPr="00FE6C6C">
              <w:rPr>
                <w:iCs/>
              </w:rPr>
              <w:t xml:space="preserve">See </w:t>
            </w:r>
            <w:hyperlink r:id="rId21" w:history="1">
              <w:r w:rsidRPr="00FE6C6C">
                <w:rPr>
                  <w:rStyle w:val="Hyperlink"/>
                  <w:iCs/>
                </w:rPr>
                <w:t>https://www.barningham.suffolk.sch.uk/wp-content/uploads/2022/01/PP-Strategy-Impact-Statement-2020-2021.docx</w:t>
              </w:r>
            </w:hyperlink>
            <w:r w:rsidRPr="00FE6C6C">
              <w:rPr>
                <w:iCs/>
              </w:rPr>
              <w:t xml:space="preserve"> for a detailed review</w:t>
            </w:r>
            <w:r w:rsidR="00FE6C6C" w:rsidRPr="00FE6C6C">
              <w:rPr>
                <w:iCs/>
              </w:rPr>
              <w:t xml:space="preserve"> of the pupil premium strategy outcomes from last academic year.</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Pr="00A069EB" w:rsidRDefault="009D71E8">
            <w:pPr>
              <w:pStyle w:val="TableRow"/>
            </w:pPr>
            <w:r w:rsidRPr="00A069EB">
              <w:rPr>
                <w:color w:val="000000"/>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A8575" w14:textId="77777777" w:rsidR="00E66558" w:rsidRPr="00A069EB" w:rsidRDefault="00C63B0D">
            <w:pPr>
              <w:pStyle w:val="TableRowCentered"/>
              <w:jc w:val="left"/>
              <w:rPr>
                <w:szCs w:val="24"/>
              </w:rPr>
            </w:pPr>
            <w:r w:rsidRPr="00A069EB">
              <w:rPr>
                <w:szCs w:val="24"/>
              </w:rPr>
              <w:t>We had additional ELSA support sessions for service pupils especially during moments of mobility for the child.</w:t>
            </w:r>
          </w:p>
          <w:p w14:paraId="3E746CEC" w14:textId="77777777" w:rsidR="00C63B0D" w:rsidRPr="00A069EB" w:rsidRDefault="00C63B0D">
            <w:pPr>
              <w:pStyle w:val="TableRowCentered"/>
              <w:jc w:val="left"/>
              <w:rPr>
                <w:szCs w:val="24"/>
              </w:rPr>
            </w:pPr>
            <w:r w:rsidRPr="00A069EB">
              <w:rPr>
                <w:szCs w:val="24"/>
              </w:rPr>
              <w:t>They also received in class support through the pupil premium champion mentor</w:t>
            </w:r>
            <w:r w:rsidR="00A069EB" w:rsidRPr="00A069EB">
              <w:rPr>
                <w:szCs w:val="24"/>
              </w:rPr>
              <w:t xml:space="preserve"> </w:t>
            </w:r>
          </w:p>
          <w:p w14:paraId="2A7D5559" w14:textId="02309592" w:rsidR="00A069EB" w:rsidRPr="00A069EB" w:rsidRDefault="00A069EB">
            <w:pPr>
              <w:pStyle w:val="TableRowCentered"/>
              <w:jc w:val="left"/>
              <w:rPr>
                <w:szCs w:val="24"/>
              </w:rPr>
            </w:pPr>
            <w:r w:rsidRPr="00A069EB">
              <w:rPr>
                <w:szCs w:val="24"/>
              </w:rPr>
              <w:t>Some pupils accessed additional catch up phonics sessions who had fallen behind.</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Pr="00A069EB" w:rsidRDefault="009D71E8">
            <w:pPr>
              <w:pStyle w:val="TableRow"/>
            </w:pPr>
            <w:r w:rsidRPr="00A069EB">
              <w:rPr>
                <w:color w:val="000000"/>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8B3A7" w14:textId="77777777" w:rsidR="00E66558" w:rsidRDefault="005B5A8F">
            <w:pPr>
              <w:pStyle w:val="TableRowCentered"/>
              <w:jc w:val="left"/>
              <w:rPr>
                <w:szCs w:val="24"/>
              </w:rPr>
            </w:pPr>
            <w:r>
              <w:rPr>
                <w:szCs w:val="24"/>
              </w:rPr>
              <w:t>Assessments demonstrated progress, especially in phonics and reading</w:t>
            </w:r>
          </w:p>
          <w:p w14:paraId="2A7D555C" w14:textId="73BD1CC7" w:rsidR="005B5A8F" w:rsidRPr="00A069EB" w:rsidRDefault="005B5A8F">
            <w:pPr>
              <w:pStyle w:val="TableRowCentered"/>
              <w:jc w:val="left"/>
              <w:rPr>
                <w:szCs w:val="24"/>
              </w:rPr>
            </w:pPr>
            <w:r>
              <w:rPr>
                <w:szCs w:val="24"/>
              </w:rPr>
              <w:t xml:space="preserve">Staff observed </w:t>
            </w:r>
            <w:r w:rsidR="000C07C7">
              <w:rPr>
                <w:szCs w:val="24"/>
              </w:rPr>
              <w:t>improvements in mental health and wellbeing for service pupils.</w:t>
            </w: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rsidTr="42A5F824">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A8640A" w14:textId="635C25CE" w:rsidR="42A5F824" w:rsidRDefault="42A5F824" w:rsidP="42A5F824">
            <w:pPr>
              <w:spacing w:before="120" w:after="120"/>
              <w:rPr>
                <w:color w:val="0D0D0D" w:themeColor="text1" w:themeTint="F2"/>
              </w:rPr>
            </w:pPr>
            <w:r>
              <w:rPr>
                <w:noProof/>
              </w:rPr>
              <w:drawing>
                <wp:anchor distT="0" distB="0" distL="114300" distR="114300" simplePos="0" relativeHeight="251658240" behindDoc="1" locked="0" layoutInCell="1" allowOverlap="1" wp14:anchorId="15EAE192" wp14:editId="57DCE054">
                  <wp:simplePos x="0" y="0"/>
                  <wp:positionH relativeFrom="column">
                    <wp:posOffset>-1270</wp:posOffset>
                  </wp:positionH>
                  <wp:positionV relativeFrom="paragraph">
                    <wp:posOffset>77470</wp:posOffset>
                  </wp:positionV>
                  <wp:extent cx="4572000" cy="3867150"/>
                  <wp:effectExtent l="0" t="0" r="0" b="0"/>
                  <wp:wrapTight wrapText="bothSides">
                    <wp:wrapPolygon edited="0">
                      <wp:start x="0" y="0"/>
                      <wp:lineTo x="0" y="21494"/>
                      <wp:lineTo x="21510" y="21494"/>
                      <wp:lineTo x="21510" y="0"/>
                      <wp:lineTo x="0" y="0"/>
                    </wp:wrapPolygon>
                  </wp:wrapTight>
                  <wp:docPr id="1406752362" name="Picture 1406752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4572000" cy="3867150"/>
                          </a:xfrm>
                          <a:prstGeom prst="rect">
                            <a:avLst/>
                          </a:prstGeom>
                        </pic:spPr>
                      </pic:pic>
                    </a:graphicData>
                  </a:graphic>
                </wp:anchor>
              </w:drawing>
            </w:r>
          </w:p>
          <w:p w14:paraId="2A7D5562" w14:textId="1FFE01FA" w:rsidR="00E66558" w:rsidRDefault="42A5F824" w:rsidP="42A5F824">
            <w:pPr>
              <w:spacing w:before="120" w:after="120"/>
              <w:rPr>
                <w:i/>
                <w:iCs/>
              </w:rPr>
            </w:pPr>
            <w:r w:rsidRPr="42A5F824">
              <w:rPr>
                <w:i/>
                <w:iCs/>
              </w:rPr>
              <w:t>This diagram indicates how the school uses the PP grant to ensure high quality teaching, targeted support and wider strategies throughout the school.</w:t>
            </w:r>
          </w:p>
        </w:tc>
      </w:tr>
      <w:bookmarkEnd w:id="15"/>
      <w:bookmarkEnd w:id="16"/>
      <w:bookmarkEnd w:id="17"/>
    </w:tbl>
    <w:p w14:paraId="2A7D5564" w14:textId="77777777" w:rsidR="00E66558" w:rsidRDefault="00E66558"/>
    <w:sectPr w:rsidR="00E66558">
      <w:headerReference w:type="default" r:id="rId23"/>
      <w:footerReference w:type="default" r:id="rId2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AD80A" w14:textId="77777777" w:rsidR="00EF07D5" w:rsidRDefault="00EF07D5">
      <w:pPr>
        <w:spacing w:after="0" w:line="240" w:lineRule="auto"/>
      </w:pPr>
      <w:r>
        <w:separator/>
      </w:r>
    </w:p>
  </w:endnote>
  <w:endnote w:type="continuationSeparator" w:id="0">
    <w:p w14:paraId="06336347" w14:textId="77777777" w:rsidR="00EF07D5" w:rsidRDefault="00EF0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2EA379E7" w:rsidR="005E28A4" w:rsidRDefault="009D71E8">
    <w:pPr>
      <w:pStyle w:val="Footer"/>
      <w:ind w:firstLine="4513"/>
    </w:pPr>
    <w:r>
      <w:fldChar w:fldCharType="begin"/>
    </w:r>
    <w:r>
      <w:instrText xml:space="preserve"> PAGE </w:instrText>
    </w:r>
    <w:r>
      <w:fldChar w:fldCharType="separate"/>
    </w:r>
    <w:r w:rsidR="00862631">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E3A38" w14:textId="77777777" w:rsidR="00EF07D5" w:rsidRDefault="00EF07D5">
      <w:pPr>
        <w:spacing w:after="0" w:line="240" w:lineRule="auto"/>
      </w:pPr>
      <w:r>
        <w:separator/>
      </w:r>
    </w:p>
  </w:footnote>
  <w:footnote w:type="continuationSeparator" w:id="0">
    <w:p w14:paraId="7E917369" w14:textId="77777777" w:rsidR="00EF07D5" w:rsidRDefault="00EF0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EF07D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81B12"/>
    <w:multiLevelType w:val="hybridMultilevel"/>
    <w:tmpl w:val="60A0580C"/>
    <w:lvl w:ilvl="0" w:tplc="4CB053A6">
      <w:start w:val="1"/>
      <w:numFmt w:val="bullet"/>
      <w:lvlText w:val="-"/>
      <w:lvlJc w:val="left"/>
      <w:pPr>
        <w:ind w:left="720" w:hanging="360"/>
      </w:pPr>
      <w:rPr>
        <w:rFonts w:ascii="Calibri" w:hAnsi="Calibri" w:hint="default"/>
      </w:rPr>
    </w:lvl>
    <w:lvl w:ilvl="1" w:tplc="942CD95C">
      <w:start w:val="1"/>
      <w:numFmt w:val="bullet"/>
      <w:lvlText w:val="o"/>
      <w:lvlJc w:val="left"/>
      <w:pPr>
        <w:ind w:left="1440" w:hanging="360"/>
      </w:pPr>
      <w:rPr>
        <w:rFonts w:ascii="Courier New" w:hAnsi="Courier New" w:hint="default"/>
      </w:rPr>
    </w:lvl>
    <w:lvl w:ilvl="2" w:tplc="32ECE2F6">
      <w:start w:val="1"/>
      <w:numFmt w:val="bullet"/>
      <w:lvlText w:val=""/>
      <w:lvlJc w:val="left"/>
      <w:pPr>
        <w:ind w:left="2160" w:hanging="360"/>
      </w:pPr>
      <w:rPr>
        <w:rFonts w:ascii="Wingdings" w:hAnsi="Wingdings" w:hint="default"/>
      </w:rPr>
    </w:lvl>
    <w:lvl w:ilvl="3" w:tplc="9CCCCEA0">
      <w:start w:val="1"/>
      <w:numFmt w:val="bullet"/>
      <w:lvlText w:val=""/>
      <w:lvlJc w:val="left"/>
      <w:pPr>
        <w:ind w:left="2880" w:hanging="360"/>
      </w:pPr>
      <w:rPr>
        <w:rFonts w:ascii="Symbol" w:hAnsi="Symbol" w:hint="default"/>
      </w:rPr>
    </w:lvl>
    <w:lvl w:ilvl="4" w:tplc="8E1A06E4">
      <w:start w:val="1"/>
      <w:numFmt w:val="bullet"/>
      <w:lvlText w:val="o"/>
      <w:lvlJc w:val="left"/>
      <w:pPr>
        <w:ind w:left="3600" w:hanging="360"/>
      </w:pPr>
      <w:rPr>
        <w:rFonts w:ascii="Courier New" w:hAnsi="Courier New" w:hint="default"/>
      </w:rPr>
    </w:lvl>
    <w:lvl w:ilvl="5" w:tplc="A68276F8">
      <w:start w:val="1"/>
      <w:numFmt w:val="bullet"/>
      <w:lvlText w:val=""/>
      <w:lvlJc w:val="left"/>
      <w:pPr>
        <w:ind w:left="4320" w:hanging="360"/>
      </w:pPr>
      <w:rPr>
        <w:rFonts w:ascii="Wingdings" w:hAnsi="Wingdings" w:hint="default"/>
      </w:rPr>
    </w:lvl>
    <w:lvl w:ilvl="6" w:tplc="7728DE08">
      <w:start w:val="1"/>
      <w:numFmt w:val="bullet"/>
      <w:lvlText w:val=""/>
      <w:lvlJc w:val="left"/>
      <w:pPr>
        <w:ind w:left="5040" w:hanging="360"/>
      </w:pPr>
      <w:rPr>
        <w:rFonts w:ascii="Symbol" w:hAnsi="Symbol" w:hint="default"/>
      </w:rPr>
    </w:lvl>
    <w:lvl w:ilvl="7" w:tplc="83CEE14C">
      <w:start w:val="1"/>
      <w:numFmt w:val="bullet"/>
      <w:lvlText w:val="o"/>
      <w:lvlJc w:val="left"/>
      <w:pPr>
        <w:ind w:left="5760" w:hanging="360"/>
      </w:pPr>
      <w:rPr>
        <w:rFonts w:ascii="Courier New" w:hAnsi="Courier New" w:hint="default"/>
      </w:rPr>
    </w:lvl>
    <w:lvl w:ilvl="8" w:tplc="AF806FD8">
      <w:start w:val="1"/>
      <w:numFmt w:val="bullet"/>
      <w:lvlText w:val=""/>
      <w:lvlJc w:val="left"/>
      <w:pPr>
        <w:ind w:left="6480" w:hanging="360"/>
      </w:pPr>
      <w:rPr>
        <w:rFonts w:ascii="Wingdings" w:hAnsi="Wingdings" w:hint="default"/>
      </w:rPr>
    </w:lvl>
  </w:abstractNum>
  <w:abstractNum w:abstractNumId="1" w15:restartNumberingAfterBreak="0">
    <w:nsid w:val="0B850F11"/>
    <w:multiLevelType w:val="hybridMultilevel"/>
    <w:tmpl w:val="40D817DC"/>
    <w:lvl w:ilvl="0" w:tplc="A948C642">
      <w:start w:val="1"/>
      <w:numFmt w:val="bullet"/>
      <w:lvlText w:val="-"/>
      <w:lvlJc w:val="left"/>
      <w:pPr>
        <w:ind w:left="720" w:hanging="360"/>
      </w:pPr>
      <w:rPr>
        <w:rFonts w:ascii="Calibri" w:hAnsi="Calibri" w:hint="default"/>
      </w:rPr>
    </w:lvl>
    <w:lvl w:ilvl="1" w:tplc="6B82BA00">
      <w:start w:val="1"/>
      <w:numFmt w:val="bullet"/>
      <w:lvlText w:val="o"/>
      <w:lvlJc w:val="left"/>
      <w:pPr>
        <w:ind w:left="1440" w:hanging="360"/>
      </w:pPr>
      <w:rPr>
        <w:rFonts w:ascii="Courier New" w:hAnsi="Courier New" w:hint="default"/>
      </w:rPr>
    </w:lvl>
    <w:lvl w:ilvl="2" w:tplc="22DA870A">
      <w:start w:val="1"/>
      <w:numFmt w:val="bullet"/>
      <w:lvlText w:val=""/>
      <w:lvlJc w:val="left"/>
      <w:pPr>
        <w:ind w:left="2160" w:hanging="360"/>
      </w:pPr>
      <w:rPr>
        <w:rFonts w:ascii="Wingdings" w:hAnsi="Wingdings" w:hint="default"/>
      </w:rPr>
    </w:lvl>
    <w:lvl w:ilvl="3" w:tplc="FA10DB1E">
      <w:start w:val="1"/>
      <w:numFmt w:val="bullet"/>
      <w:lvlText w:val=""/>
      <w:lvlJc w:val="left"/>
      <w:pPr>
        <w:ind w:left="2880" w:hanging="360"/>
      </w:pPr>
      <w:rPr>
        <w:rFonts w:ascii="Symbol" w:hAnsi="Symbol" w:hint="default"/>
      </w:rPr>
    </w:lvl>
    <w:lvl w:ilvl="4" w:tplc="BB1A71CE">
      <w:start w:val="1"/>
      <w:numFmt w:val="bullet"/>
      <w:lvlText w:val="o"/>
      <w:lvlJc w:val="left"/>
      <w:pPr>
        <w:ind w:left="3600" w:hanging="360"/>
      </w:pPr>
      <w:rPr>
        <w:rFonts w:ascii="Courier New" w:hAnsi="Courier New" w:hint="default"/>
      </w:rPr>
    </w:lvl>
    <w:lvl w:ilvl="5" w:tplc="6E02E5DE">
      <w:start w:val="1"/>
      <w:numFmt w:val="bullet"/>
      <w:lvlText w:val=""/>
      <w:lvlJc w:val="left"/>
      <w:pPr>
        <w:ind w:left="4320" w:hanging="360"/>
      </w:pPr>
      <w:rPr>
        <w:rFonts w:ascii="Wingdings" w:hAnsi="Wingdings" w:hint="default"/>
      </w:rPr>
    </w:lvl>
    <w:lvl w:ilvl="6" w:tplc="336C19EC">
      <w:start w:val="1"/>
      <w:numFmt w:val="bullet"/>
      <w:lvlText w:val=""/>
      <w:lvlJc w:val="left"/>
      <w:pPr>
        <w:ind w:left="5040" w:hanging="360"/>
      </w:pPr>
      <w:rPr>
        <w:rFonts w:ascii="Symbol" w:hAnsi="Symbol" w:hint="default"/>
      </w:rPr>
    </w:lvl>
    <w:lvl w:ilvl="7" w:tplc="C1F8E5E2">
      <w:start w:val="1"/>
      <w:numFmt w:val="bullet"/>
      <w:lvlText w:val="o"/>
      <w:lvlJc w:val="left"/>
      <w:pPr>
        <w:ind w:left="5760" w:hanging="360"/>
      </w:pPr>
      <w:rPr>
        <w:rFonts w:ascii="Courier New" w:hAnsi="Courier New" w:hint="default"/>
      </w:rPr>
    </w:lvl>
    <w:lvl w:ilvl="8" w:tplc="D39223A2">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DDA72C6"/>
    <w:multiLevelType w:val="hybridMultilevel"/>
    <w:tmpl w:val="CD0A7D7E"/>
    <w:lvl w:ilvl="0" w:tplc="B8702B7E">
      <w:start w:val="1"/>
      <w:numFmt w:val="bullet"/>
      <w:lvlText w:val="-"/>
      <w:lvlJc w:val="left"/>
      <w:pPr>
        <w:ind w:left="720" w:hanging="360"/>
      </w:pPr>
      <w:rPr>
        <w:rFonts w:ascii="Calibri" w:hAnsi="Calibri" w:hint="default"/>
      </w:rPr>
    </w:lvl>
    <w:lvl w:ilvl="1" w:tplc="E158A2E4">
      <w:start w:val="1"/>
      <w:numFmt w:val="bullet"/>
      <w:lvlText w:val="o"/>
      <w:lvlJc w:val="left"/>
      <w:pPr>
        <w:ind w:left="1440" w:hanging="360"/>
      </w:pPr>
      <w:rPr>
        <w:rFonts w:ascii="Courier New" w:hAnsi="Courier New" w:hint="default"/>
      </w:rPr>
    </w:lvl>
    <w:lvl w:ilvl="2" w:tplc="8F760DD6">
      <w:start w:val="1"/>
      <w:numFmt w:val="bullet"/>
      <w:lvlText w:val=""/>
      <w:lvlJc w:val="left"/>
      <w:pPr>
        <w:ind w:left="2160" w:hanging="360"/>
      </w:pPr>
      <w:rPr>
        <w:rFonts w:ascii="Wingdings" w:hAnsi="Wingdings" w:hint="default"/>
      </w:rPr>
    </w:lvl>
    <w:lvl w:ilvl="3" w:tplc="314EF93C">
      <w:start w:val="1"/>
      <w:numFmt w:val="bullet"/>
      <w:lvlText w:val=""/>
      <w:lvlJc w:val="left"/>
      <w:pPr>
        <w:ind w:left="2880" w:hanging="360"/>
      </w:pPr>
      <w:rPr>
        <w:rFonts w:ascii="Symbol" w:hAnsi="Symbol" w:hint="default"/>
      </w:rPr>
    </w:lvl>
    <w:lvl w:ilvl="4" w:tplc="3E025C8E">
      <w:start w:val="1"/>
      <w:numFmt w:val="bullet"/>
      <w:lvlText w:val="o"/>
      <w:lvlJc w:val="left"/>
      <w:pPr>
        <w:ind w:left="3600" w:hanging="360"/>
      </w:pPr>
      <w:rPr>
        <w:rFonts w:ascii="Courier New" w:hAnsi="Courier New" w:hint="default"/>
      </w:rPr>
    </w:lvl>
    <w:lvl w:ilvl="5" w:tplc="0712BD48">
      <w:start w:val="1"/>
      <w:numFmt w:val="bullet"/>
      <w:lvlText w:val=""/>
      <w:lvlJc w:val="left"/>
      <w:pPr>
        <w:ind w:left="4320" w:hanging="360"/>
      </w:pPr>
      <w:rPr>
        <w:rFonts w:ascii="Wingdings" w:hAnsi="Wingdings" w:hint="default"/>
      </w:rPr>
    </w:lvl>
    <w:lvl w:ilvl="6" w:tplc="24FC4EAE">
      <w:start w:val="1"/>
      <w:numFmt w:val="bullet"/>
      <w:lvlText w:val=""/>
      <w:lvlJc w:val="left"/>
      <w:pPr>
        <w:ind w:left="5040" w:hanging="360"/>
      </w:pPr>
      <w:rPr>
        <w:rFonts w:ascii="Symbol" w:hAnsi="Symbol" w:hint="default"/>
      </w:rPr>
    </w:lvl>
    <w:lvl w:ilvl="7" w:tplc="C0D6883C">
      <w:start w:val="1"/>
      <w:numFmt w:val="bullet"/>
      <w:lvlText w:val="o"/>
      <w:lvlJc w:val="left"/>
      <w:pPr>
        <w:ind w:left="5760" w:hanging="360"/>
      </w:pPr>
      <w:rPr>
        <w:rFonts w:ascii="Courier New" w:hAnsi="Courier New" w:hint="default"/>
      </w:rPr>
    </w:lvl>
    <w:lvl w:ilvl="8" w:tplc="F09069BE">
      <w:start w:val="1"/>
      <w:numFmt w:val="bullet"/>
      <w:lvlText w:val=""/>
      <w:lvlJc w:val="left"/>
      <w:pPr>
        <w:ind w:left="6480" w:hanging="360"/>
      </w:pPr>
      <w:rPr>
        <w:rFonts w:ascii="Wingdings" w:hAnsi="Wingdings" w:hint="default"/>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9042DDF"/>
    <w:multiLevelType w:val="hybridMultilevel"/>
    <w:tmpl w:val="1D361A8E"/>
    <w:lvl w:ilvl="0" w:tplc="0C4ADB00">
      <w:start w:val="1"/>
      <w:numFmt w:val="bullet"/>
      <w:lvlText w:val="-"/>
      <w:lvlJc w:val="left"/>
      <w:pPr>
        <w:ind w:left="720" w:hanging="360"/>
      </w:pPr>
      <w:rPr>
        <w:rFonts w:ascii="Calibri" w:hAnsi="Calibri" w:hint="default"/>
      </w:rPr>
    </w:lvl>
    <w:lvl w:ilvl="1" w:tplc="4AE0F89A">
      <w:start w:val="1"/>
      <w:numFmt w:val="bullet"/>
      <w:lvlText w:val="o"/>
      <w:lvlJc w:val="left"/>
      <w:pPr>
        <w:ind w:left="1440" w:hanging="360"/>
      </w:pPr>
      <w:rPr>
        <w:rFonts w:ascii="Courier New" w:hAnsi="Courier New" w:hint="default"/>
      </w:rPr>
    </w:lvl>
    <w:lvl w:ilvl="2" w:tplc="D45A0FDC">
      <w:start w:val="1"/>
      <w:numFmt w:val="bullet"/>
      <w:lvlText w:val=""/>
      <w:lvlJc w:val="left"/>
      <w:pPr>
        <w:ind w:left="2160" w:hanging="360"/>
      </w:pPr>
      <w:rPr>
        <w:rFonts w:ascii="Wingdings" w:hAnsi="Wingdings" w:hint="default"/>
      </w:rPr>
    </w:lvl>
    <w:lvl w:ilvl="3" w:tplc="B02ADEB8">
      <w:start w:val="1"/>
      <w:numFmt w:val="bullet"/>
      <w:lvlText w:val=""/>
      <w:lvlJc w:val="left"/>
      <w:pPr>
        <w:ind w:left="2880" w:hanging="360"/>
      </w:pPr>
      <w:rPr>
        <w:rFonts w:ascii="Symbol" w:hAnsi="Symbol" w:hint="default"/>
      </w:rPr>
    </w:lvl>
    <w:lvl w:ilvl="4" w:tplc="D2940540">
      <w:start w:val="1"/>
      <w:numFmt w:val="bullet"/>
      <w:lvlText w:val="o"/>
      <w:lvlJc w:val="left"/>
      <w:pPr>
        <w:ind w:left="3600" w:hanging="360"/>
      </w:pPr>
      <w:rPr>
        <w:rFonts w:ascii="Courier New" w:hAnsi="Courier New" w:hint="default"/>
      </w:rPr>
    </w:lvl>
    <w:lvl w:ilvl="5" w:tplc="E3AE4A10">
      <w:start w:val="1"/>
      <w:numFmt w:val="bullet"/>
      <w:lvlText w:val=""/>
      <w:lvlJc w:val="left"/>
      <w:pPr>
        <w:ind w:left="4320" w:hanging="360"/>
      </w:pPr>
      <w:rPr>
        <w:rFonts w:ascii="Wingdings" w:hAnsi="Wingdings" w:hint="default"/>
      </w:rPr>
    </w:lvl>
    <w:lvl w:ilvl="6" w:tplc="B04868B8">
      <w:start w:val="1"/>
      <w:numFmt w:val="bullet"/>
      <w:lvlText w:val=""/>
      <w:lvlJc w:val="left"/>
      <w:pPr>
        <w:ind w:left="5040" w:hanging="360"/>
      </w:pPr>
      <w:rPr>
        <w:rFonts w:ascii="Symbol" w:hAnsi="Symbol" w:hint="default"/>
      </w:rPr>
    </w:lvl>
    <w:lvl w:ilvl="7" w:tplc="B07C270C">
      <w:start w:val="1"/>
      <w:numFmt w:val="bullet"/>
      <w:lvlText w:val="o"/>
      <w:lvlJc w:val="left"/>
      <w:pPr>
        <w:ind w:left="5760" w:hanging="360"/>
      </w:pPr>
      <w:rPr>
        <w:rFonts w:ascii="Courier New" w:hAnsi="Courier New" w:hint="default"/>
      </w:rPr>
    </w:lvl>
    <w:lvl w:ilvl="8" w:tplc="8144ADC4">
      <w:start w:val="1"/>
      <w:numFmt w:val="bullet"/>
      <w:lvlText w:val=""/>
      <w:lvlJc w:val="left"/>
      <w:pPr>
        <w:ind w:left="6480" w:hanging="360"/>
      </w:pPr>
      <w:rPr>
        <w:rFonts w:ascii="Wingdings" w:hAnsi="Wingdings" w:hint="default"/>
      </w:r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CA44F6F"/>
    <w:multiLevelType w:val="hybridMultilevel"/>
    <w:tmpl w:val="35E866EA"/>
    <w:lvl w:ilvl="0" w:tplc="B7A81998">
      <w:start w:val="1"/>
      <w:numFmt w:val="bullet"/>
      <w:lvlText w:val="-"/>
      <w:lvlJc w:val="left"/>
      <w:pPr>
        <w:ind w:left="720" w:hanging="360"/>
      </w:pPr>
      <w:rPr>
        <w:rFonts w:ascii="Calibri" w:hAnsi="Calibri" w:hint="default"/>
      </w:rPr>
    </w:lvl>
    <w:lvl w:ilvl="1" w:tplc="2AE4E6CC">
      <w:start w:val="1"/>
      <w:numFmt w:val="bullet"/>
      <w:lvlText w:val="o"/>
      <w:lvlJc w:val="left"/>
      <w:pPr>
        <w:ind w:left="1440" w:hanging="360"/>
      </w:pPr>
      <w:rPr>
        <w:rFonts w:ascii="Courier New" w:hAnsi="Courier New" w:hint="default"/>
      </w:rPr>
    </w:lvl>
    <w:lvl w:ilvl="2" w:tplc="BC4C69A8">
      <w:start w:val="1"/>
      <w:numFmt w:val="bullet"/>
      <w:lvlText w:val=""/>
      <w:lvlJc w:val="left"/>
      <w:pPr>
        <w:ind w:left="2160" w:hanging="360"/>
      </w:pPr>
      <w:rPr>
        <w:rFonts w:ascii="Wingdings" w:hAnsi="Wingdings" w:hint="default"/>
      </w:rPr>
    </w:lvl>
    <w:lvl w:ilvl="3" w:tplc="ECF07052">
      <w:start w:val="1"/>
      <w:numFmt w:val="bullet"/>
      <w:lvlText w:val=""/>
      <w:lvlJc w:val="left"/>
      <w:pPr>
        <w:ind w:left="2880" w:hanging="360"/>
      </w:pPr>
      <w:rPr>
        <w:rFonts w:ascii="Symbol" w:hAnsi="Symbol" w:hint="default"/>
      </w:rPr>
    </w:lvl>
    <w:lvl w:ilvl="4" w:tplc="9DCAFA74">
      <w:start w:val="1"/>
      <w:numFmt w:val="bullet"/>
      <w:lvlText w:val="o"/>
      <w:lvlJc w:val="left"/>
      <w:pPr>
        <w:ind w:left="3600" w:hanging="360"/>
      </w:pPr>
      <w:rPr>
        <w:rFonts w:ascii="Courier New" w:hAnsi="Courier New" w:hint="default"/>
      </w:rPr>
    </w:lvl>
    <w:lvl w:ilvl="5" w:tplc="D454360A">
      <w:start w:val="1"/>
      <w:numFmt w:val="bullet"/>
      <w:lvlText w:val=""/>
      <w:lvlJc w:val="left"/>
      <w:pPr>
        <w:ind w:left="4320" w:hanging="360"/>
      </w:pPr>
      <w:rPr>
        <w:rFonts w:ascii="Wingdings" w:hAnsi="Wingdings" w:hint="default"/>
      </w:rPr>
    </w:lvl>
    <w:lvl w:ilvl="6" w:tplc="906E321A">
      <w:start w:val="1"/>
      <w:numFmt w:val="bullet"/>
      <w:lvlText w:val=""/>
      <w:lvlJc w:val="left"/>
      <w:pPr>
        <w:ind w:left="5040" w:hanging="360"/>
      </w:pPr>
      <w:rPr>
        <w:rFonts w:ascii="Symbol" w:hAnsi="Symbol" w:hint="default"/>
      </w:rPr>
    </w:lvl>
    <w:lvl w:ilvl="7" w:tplc="9DBA9082">
      <w:start w:val="1"/>
      <w:numFmt w:val="bullet"/>
      <w:lvlText w:val="o"/>
      <w:lvlJc w:val="left"/>
      <w:pPr>
        <w:ind w:left="5760" w:hanging="360"/>
      </w:pPr>
      <w:rPr>
        <w:rFonts w:ascii="Courier New" w:hAnsi="Courier New" w:hint="default"/>
      </w:rPr>
    </w:lvl>
    <w:lvl w:ilvl="8" w:tplc="6A44110A">
      <w:start w:val="1"/>
      <w:numFmt w:val="bullet"/>
      <w:lvlText w:val=""/>
      <w:lvlJc w:val="left"/>
      <w:pPr>
        <w:ind w:left="6480" w:hanging="360"/>
      </w:pPr>
      <w:rPr>
        <w:rFonts w:ascii="Wingdings" w:hAnsi="Wingdings" w:hint="default"/>
      </w:r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14772D3"/>
    <w:multiLevelType w:val="hybridMultilevel"/>
    <w:tmpl w:val="A7B0A028"/>
    <w:lvl w:ilvl="0" w:tplc="B8E814AE">
      <w:start w:val="1"/>
      <w:numFmt w:val="bullet"/>
      <w:lvlText w:val="-"/>
      <w:lvlJc w:val="left"/>
      <w:pPr>
        <w:ind w:left="720" w:hanging="360"/>
      </w:pPr>
      <w:rPr>
        <w:rFonts w:ascii="Calibri" w:hAnsi="Calibri" w:hint="default"/>
      </w:rPr>
    </w:lvl>
    <w:lvl w:ilvl="1" w:tplc="94B8D1FA">
      <w:start w:val="1"/>
      <w:numFmt w:val="bullet"/>
      <w:lvlText w:val="o"/>
      <w:lvlJc w:val="left"/>
      <w:pPr>
        <w:ind w:left="1440" w:hanging="360"/>
      </w:pPr>
      <w:rPr>
        <w:rFonts w:ascii="Courier New" w:hAnsi="Courier New" w:hint="default"/>
      </w:rPr>
    </w:lvl>
    <w:lvl w:ilvl="2" w:tplc="1BAC08EA">
      <w:start w:val="1"/>
      <w:numFmt w:val="bullet"/>
      <w:lvlText w:val=""/>
      <w:lvlJc w:val="left"/>
      <w:pPr>
        <w:ind w:left="2160" w:hanging="360"/>
      </w:pPr>
      <w:rPr>
        <w:rFonts w:ascii="Wingdings" w:hAnsi="Wingdings" w:hint="default"/>
      </w:rPr>
    </w:lvl>
    <w:lvl w:ilvl="3" w:tplc="579E9C4A">
      <w:start w:val="1"/>
      <w:numFmt w:val="bullet"/>
      <w:lvlText w:val=""/>
      <w:lvlJc w:val="left"/>
      <w:pPr>
        <w:ind w:left="2880" w:hanging="360"/>
      </w:pPr>
      <w:rPr>
        <w:rFonts w:ascii="Symbol" w:hAnsi="Symbol" w:hint="default"/>
      </w:rPr>
    </w:lvl>
    <w:lvl w:ilvl="4" w:tplc="48266532">
      <w:start w:val="1"/>
      <w:numFmt w:val="bullet"/>
      <w:lvlText w:val="o"/>
      <w:lvlJc w:val="left"/>
      <w:pPr>
        <w:ind w:left="3600" w:hanging="360"/>
      </w:pPr>
      <w:rPr>
        <w:rFonts w:ascii="Courier New" w:hAnsi="Courier New" w:hint="default"/>
      </w:rPr>
    </w:lvl>
    <w:lvl w:ilvl="5" w:tplc="C9A8AE38">
      <w:start w:val="1"/>
      <w:numFmt w:val="bullet"/>
      <w:lvlText w:val=""/>
      <w:lvlJc w:val="left"/>
      <w:pPr>
        <w:ind w:left="4320" w:hanging="360"/>
      </w:pPr>
      <w:rPr>
        <w:rFonts w:ascii="Wingdings" w:hAnsi="Wingdings" w:hint="default"/>
      </w:rPr>
    </w:lvl>
    <w:lvl w:ilvl="6" w:tplc="134C906E">
      <w:start w:val="1"/>
      <w:numFmt w:val="bullet"/>
      <w:lvlText w:val=""/>
      <w:lvlJc w:val="left"/>
      <w:pPr>
        <w:ind w:left="5040" w:hanging="360"/>
      </w:pPr>
      <w:rPr>
        <w:rFonts w:ascii="Symbol" w:hAnsi="Symbol" w:hint="default"/>
      </w:rPr>
    </w:lvl>
    <w:lvl w:ilvl="7" w:tplc="78607D98">
      <w:start w:val="1"/>
      <w:numFmt w:val="bullet"/>
      <w:lvlText w:val="o"/>
      <w:lvlJc w:val="left"/>
      <w:pPr>
        <w:ind w:left="5760" w:hanging="360"/>
      </w:pPr>
      <w:rPr>
        <w:rFonts w:ascii="Courier New" w:hAnsi="Courier New" w:hint="default"/>
      </w:rPr>
    </w:lvl>
    <w:lvl w:ilvl="8" w:tplc="A3044C78">
      <w:start w:val="1"/>
      <w:numFmt w:val="bullet"/>
      <w:lvlText w:val=""/>
      <w:lvlJc w:val="left"/>
      <w:pPr>
        <w:ind w:left="6480" w:hanging="360"/>
      </w:pPr>
      <w:rPr>
        <w:rFonts w:ascii="Wingdings" w:hAnsi="Wingdings" w:hint="default"/>
      </w:r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5"/>
  </w:num>
  <w:num w:numId="2">
    <w:abstractNumId w:val="0"/>
  </w:num>
  <w:num w:numId="3">
    <w:abstractNumId w:val="3"/>
  </w:num>
  <w:num w:numId="4">
    <w:abstractNumId w:val="1"/>
  </w:num>
  <w:num w:numId="5">
    <w:abstractNumId w:val="8"/>
  </w:num>
  <w:num w:numId="6">
    <w:abstractNumId w:val="11"/>
  </w:num>
  <w:num w:numId="7">
    <w:abstractNumId w:val="6"/>
  </w:num>
  <w:num w:numId="8">
    <w:abstractNumId w:val="4"/>
  </w:num>
  <w:num w:numId="9">
    <w:abstractNumId w:val="7"/>
  </w:num>
  <w:num w:numId="10">
    <w:abstractNumId w:val="9"/>
  </w:num>
  <w:num w:numId="11">
    <w:abstractNumId w:val="2"/>
  </w:num>
  <w:num w:numId="12">
    <w:abstractNumId w:val="10"/>
  </w:num>
  <w:num w:numId="13">
    <w:abstractNumId w:val="13"/>
  </w:num>
  <w:num w:numId="14">
    <w:abstractNumId w:val="18"/>
  </w:num>
  <w:num w:numId="15">
    <w:abstractNumId w:val="16"/>
  </w:num>
  <w:num w:numId="16">
    <w:abstractNumId w:val="14"/>
  </w:num>
  <w:num w:numId="17">
    <w:abstractNumId w:val="5"/>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41168"/>
    <w:rsid w:val="00066B73"/>
    <w:rsid w:val="000C07C7"/>
    <w:rsid w:val="00120AB1"/>
    <w:rsid w:val="00133F58"/>
    <w:rsid w:val="001A6417"/>
    <w:rsid w:val="001E48A1"/>
    <w:rsid w:val="001F168D"/>
    <w:rsid w:val="00206AF7"/>
    <w:rsid w:val="00253101"/>
    <w:rsid w:val="00266943"/>
    <w:rsid w:val="002D4665"/>
    <w:rsid w:val="002F7ACF"/>
    <w:rsid w:val="003A6C09"/>
    <w:rsid w:val="003F3560"/>
    <w:rsid w:val="0040135B"/>
    <w:rsid w:val="004044AA"/>
    <w:rsid w:val="004400F3"/>
    <w:rsid w:val="0045202E"/>
    <w:rsid w:val="0052337C"/>
    <w:rsid w:val="00527A3C"/>
    <w:rsid w:val="00530FE5"/>
    <w:rsid w:val="00561459"/>
    <w:rsid w:val="005668BD"/>
    <w:rsid w:val="00596B2D"/>
    <w:rsid w:val="005B5A8F"/>
    <w:rsid w:val="006027FC"/>
    <w:rsid w:val="006A0DD3"/>
    <w:rsid w:val="006A17F3"/>
    <w:rsid w:val="006B458D"/>
    <w:rsid w:val="006E7FB1"/>
    <w:rsid w:val="00741B9E"/>
    <w:rsid w:val="00753BFF"/>
    <w:rsid w:val="007C2F04"/>
    <w:rsid w:val="007C2F8F"/>
    <w:rsid w:val="008026B5"/>
    <w:rsid w:val="00845ADF"/>
    <w:rsid w:val="00862631"/>
    <w:rsid w:val="00880920"/>
    <w:rsid w:val="00893E5F"/>
    <w:rsid w:val="008A1BC4"/>
    <w:rsid w:val="00973285"/>
    <w:rsid w:val="009B0BA0"/>
    <w:rsid w:val="009D4725"/>
    <w:rsid w:val="009D71E8"/>
    <w:rsid w:val="00A069EB"/>
    <w:rsid w:val="00A53E12"/>
    <w:rsid w:val="00AA4201"/>
    <w:rsid w:val="00AD0DA0"/>
    <w:rsid w:val="00AD4FA8"/>
    <w:rsid w:val="00AF02F4"/>
    <w:rsid w:val="00BF194F"/>
    <w:rsid w:val="00C3573B"/>
    <w:rsid w:val="00C63B0D"/>
    <w:rsid w:val="00C73956"/>
    <w:rsid w:val="00CB41B9"/>
    <w:rsid w:val="00D16FE8"/>
    <w:rsid w:val="00D33FE5"/>
    <w:rsid w:val="00D60827"/>
    <w:rsid w:val="00D90244"/>
    <w:rsid w:val="00DC28B3"/>
    <w:rsid w:val="00DE1A08"/>
    <w:rsid w:val="00E66558"/>
    <w:rsid w:val="00ED756B"/>
    <w:rsid w:val="00EE056C"/>
    <w:rsid w:val="00EE3B18"/>
    <w:rsid w:val="00EF07D5"/>
    <w:rsid w:val="00EF47CF"/>
    <w:rsid w:val="00F42001"/>
    <w:rsid w:val="00F4371B"/>
    <w:rsid w:val="00F43E6F"/>
    <w:rsid w:val="00F7688D"/>
    <w:rsid w:val="00FE6C6C"/>
    <w:rsid w:val="010EBACD"/>
    <w:rsid w:val="02717873"/>
    <w:rsid w:val="05076921"/>
    <w:rsid w:val="05B106BB"/>
    <w:rsid w:val="068021C4"/>
    <w:rsid w:val="07533476"/>
    <w:rsid w:val="0764D3F4"/>
    <w:rsid w:val="076BF731"/>
    <w:rsid w:val="08C7FBA2"/>
    <w:rsid w:val="08E8A77D"/>
    <w:rsid w:val="0907C792"/>
    <w:rsid w:val="09E069EA"/>
    <w:rsid w:val="0A8477DE"/>
    <w:rsid w:val="0C152D59"/>
    <w:rsid w:val="0C83794F"/>
    <w:rsid w:val="0DBC18A0"/>
    <w:rsid w:val="0E64260E"/>
    <w:rsid w:val="11238869"/>
    <w:rsid w:val="1156EA72"/>
    <w:rsid w:val="128F89C3"/>
    <w:rsid w:val="16C14AD2"/>
    <w:rsid w:val="17092410"/>
    <w:rsid w:val="1820DB18"/>
    <w:rsid w:val="18FECB47"/>
    <w:rsid w:val="1A9A9BA8"/>
    <w:rsid w:val="1DD23C6A"/>
    <w:rsid w:val="1E08C90C"/>
    <w:rsid w:val="2027FB86"/>
    <w:rsid w:val="2079CC96"/>
    <w:rsid w:val="2117C26A"/>
    <w:rsid w:val="22B392CB"/>
    <w:rsid w:val="258B64FF"/>
    <w:rsid w:val="26BE463F"/>
    <w:rsid w:val="271B19F5"/>
    <w:rsid w:val="2734F575"/>
    <w:rsid w:val="285A16A0"/>
    <w:rsid w:val="2B7231AB"/>
    <w:rsid w:val="2B993F46"/>
    <w:rsid w:val="2D006D9B"/>
    <w:rsid w:val="2DCC0A77"/>
    <w:rsid w:val="2EC2FACA"/>
    <w:rsid w:val="2F80DAFC"/>
    <w:rsid w:val="320880CA"/>
    <w:rsid w:val="3309BFEE"/>
    <w:rsid w:val="3588606C"/>
    <w:rsid w:val="3631EC41"/>
    <w:rsid w:val="3787FB6A"/>
    <w:rsid w:val="3798C087"/>
    <w:rsid w:val="3850B4B3"/>
    <w:rsid w:val="386343A3"/>
    <w:rsid w:val="3A111924"/>
    <w:rsid w:val="3A8AA787"/>
    <w:rsid w:val="3BC16830"/>
    <w:rsid w:val="3C5F5E04"/>
    <w:rsid w:val="3DC24849"/>
    <w:rsid w:val="41267A70"/>
    <w:rsid w:val="41B2BA9B"/>
    <w:rsid w:val="4230A9B4"/>
    <w:rsid w:val="42A5F824"/>
    <w:rsid w:val="440AA15B"/>
    <w:rsid w:val="455E32DC"/>
    <w:rsid w:val="48A2A744"/>
    <w:rsid w:val="4CB22690"/>
    <w:rsid w:val="4D501C64"/>
    <w:rsid w:val="4FE9C752"/>
    <w:rsid w:val="5173F835"/>
    <w:rsid w:val="517987DB"/>
    <w:rsid w:val="5230612D"/>
    <w:rsid w:val="556801EF"/>
    <w:rsid w:val="55901951"/>
    <w:rsid w:val="568BF63F"/>
    <w:rsid w:val="5BB5F122"/>
    <w:rsid w:val="5C4516AC"/>
    <w:rsid w:val="5C76794A"/>
    <w:rsid w:val="5E32F586"/>
    <w:rsid w:val="5F02108F"/>
    <w:rsid w:val="603E1262"/>
    <w:rsid w:val="61D9E2C3"/>
    <w:rsid w:val="6393B1F1"/>
    <w:rsid w:val="63DD6F38"/>
    <w:rsid w:val="66AD53E6"/>
    <w:rsid w:val="68B0E05B"/>
    <w:rsid w:val="69E1A851"/>
    <w:rsid w:val="6A8167F8"/>
    <w:rsid w:val="6B4A8B49"/>
    <w:rsid w:val="6DACF8E2"/>
    <w:rsid w:val="6E2FF0F3"/>
    <w:rsid w:val="6F0BA334"/>
    <w:rsid w:val="6FF2CEEF"/>
    <w:rsid w:val="70F0A97C"/>
    <w:rsid w:val="7257C2A1"/>
    <w:rsid w:val="736F623A"/>
    <w:rsid w:val="76D7CF1D"/>
    <w:rsid w:val="78C70425"/>
    <w:rsid w:val="7A2104C5"/>
    <w:rsid w:val="7A666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7"/>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7"/>
      </w:numPr>
      <w:spacing w:before="240" w:after="60"/>
      <w:outlineLvl w:val="5"/>
    </w:pPr>
    <w:rPr>
      <w:rFonts w:ascii="Calibri" w:hAnsi="Calibri"/>
      <w:b/>
      <w:bCs/>
      <w:szCs w:val="22"/>
    </w:rPr>
  </w:style>
  <w:style w:type="paragraph" w:styleId="Heading7">
    <w:name w:val="heading 7"/>
    <w:basedOn w:val="Normal"/>
    <w:next w:val="Normal"/>
    <w:pPr>
      <w:numPr>
        <w:ilvl w:val="6"/>
        <w:numId w:val="7"/>
      </w:numPr>
      <w:spacing w:before="240" w:after="60"/>
      <w:outlineLvl w:val="6"/>
    </w:pPr>
    <w:rPr>
      <w:rFonts w:ascii="Calibri" w:hAnsi="Calibri"/>
    </w:rPr>
  </w:style>
  <w:style w:type="paragraph" w:styleId="Heading8">
    <w:name w:val="heading 8"/>
    <w:basedOn w:val="Normal"/>
    <w:next w:val="Normal"/>
    <w:pPr>
      <w:numPr>
        <w:ilvl w:val="7"/>
        <w:numId w:val="7"/>
      </w:numPr>
      <w:spacing w:before="240" w:after="60"/>
      <w:outlineLvl w:val="7"/>
    </w:pPr>
    <w:rPr>
      <w:rFonts w:ascii="Calibri" w:hAnsi="Calibri"/>
      <w:i/>
      <w:iCs/>
    </w:rPr>
  </w:style>
  <w:style w:type="paragraph" w:styleId="Heading9">
    <w:name w:val="heading 9"/>
    <w:basedOn w:val="Normal"/>
    <w:next w:val="Normal"/>
    <w:pPr>
      <w:numPr>
        <w:ilvl w:val="8"/>
        <w:numId w:val="7"/>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7"/>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1"/>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0"/>
      </w:numPr>
      <w:contextualSpacing/>
    </w:pPr>
  </w:style>
  <w:style w:type="paragraph" w:styleId="ListParagraph">
    <w:name w:val="List Paragraph"/>
    <w:basedOn w:val="Normal"/>
    <w:pPr>
      <w:numPr>
        <w:numId w:val="14"/>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9"/>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2"/>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3"/>
      </w:numPr>
      <w:contextualSpacing/>
    </w:pPr>
  </w:style>
  <w:style w:type="paragraph" w:customStyle="1" w:styleId="DfESOutNumbered">
    <w:name w:val="DfESOutNumbered"/>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6"/>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7"/>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8"/>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8"/>
      </w:numPr>
    </w:pPr>
  </w:style>
  <w:style w:type="numbering" w:customStyle="1" w:styleId="LFO3">
    <w:name w:val="LFO3"/>
    <w:basedOn w:val="NoList"/>
    <w:pPr>
      <w:numPr>
        <w:numId w:val="9"/>
      </w:numPr>
    </w:pPr>
  </w:style>
  <w:style w:type="numbering" w:customStyle="1" w:styleId="LFO4">
    <w:name w:val="LFO4"/>
    <w:basedOn w:val="NoList"/>
    <w:pPr>
      <w:numPr>
        <w:numId w:val="10"/>
      </w:numPr>
    </w:pPr>
  </w:style>
  <w:style w:type="numbering" w:customStyle="1" w:styleId="LFO6">
    <w:name w:val="LFO6"/>
    <w:basedOn w:val="NoList"/>
    <w:pPr>
      <w:numPr>
        <w:numId w:val="11"/>
      </w:numPr>
    </w:pPr>
  </w:style>
  <w:style w:type="numbering" w:customStyle="1" w:styleId="LFO9">
    <w:name w:val="LFO9"/>
    <w:basedOn w:val="NoList"/>
    <w:pPr>
      <w:numPr>
        <w:numId w:val="12"/>
      </w:numPr>
    </w:pPr>
  </w:style>
  <w:style w:type="numbering" w:customStyle="1" w:styleId="LFO10">
    <w:name w:val="LFO10"/>
    <w:basedOn w:val="NoList"/>
    <w:pPr>
      <w:numPr>
        <w:numId w:val="13"/>
      </w:numPr>
    </w:pPr>
  </w:style>
  <w:style w:type="numbering" w:customStyle="1" w:styleId="LFO25">
    <w:name w:val="LFO25"/>
    <w:basedOn w:val="NoList"/>
    <w:pPr>
      <w:numPr>
        <w:numId w:val="14"/>
      </w:numPr>
    </w:pPr>
  </w:style>
  <w:style w:type="numbering" w:customStyle="1" w:styleId="LFO28">
    <w:name w:val="LFO28"/>
    <w:basedOn w:val="NoList"/>
    <w:pPr>
      <w:numPr>
        <w:numId w:val="15"/>
      </w:numPr>
    </w:pPr>
  </w:style>
  <w:style w:type="numbering" w:customStyle="1" w:styleId="LFO30">
    <w:name w:val="LFO30"/>
    <w:basedOn w:val="NoList"/>
    <w:pPr>
      <w:numPr>
        <w:numId w:val="16"/>
      </w:numPr>
    </w:pPr>
  </w:style>
  <w:style w:type="numbering" w:customStyle="1" w:styleId="LFO34">
    <w:name w:val="LFO34"/>
    <w:basedOn w:val="NoList"/>
    <w:pPr>
      <w:numPr>
        <w:numId w:val="17"/>
      </w:numPr>
    </w:pPr>
  </w:style>
  <w:style w:type="numbering" w:customStyle="1" w:styleId="LFO36">
    <w:name w:val="LFO36"/>
    <w:basedOn w:val="NoList"/>
    <w:pPr>
      <w:numPr>
        <w:numId w:val="18"/>
      </w:numPr>
    </w:pPr>
  </w:style>
  <w:style w:type="paragraph" w:styleId="NoSpacing">
    <w:name w:val="No Spacing"/>
    <w:uiPriority w:val="1"/>
    <w:qFormat/>
    <w:rsid w:val="009D4725"/>
    <w:pPr>
      <w:suppressAutoHyphens/>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085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oral-language-interventions" TargetMode="External"/><Relationship Id="rId13" Type="http://schemas.openxmlformats.org/officeDocument/2006/relationships/hyperlink" Target="https://educationendowmentfoundation.org.uk/education-evidence/teaching-learning-toolkit/oral-language-interventions" TargetMode="External"/><Relationship Id="rId18" Type="http://schemas.openxmlformats.org/officeDocument/2006/relationships/hyperlink" Target="https://educationendowmentfoundation.org.uk/education-evidence/teaching-learning-toolkit/behaviour-intervention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barningham.suffolk.sch.uk/wp-content/uploads/2022/01/PP-Strategy-Impact-Statement-2020-2021.docx" TargetMode="External"/><Relationship Id="rId7" Type="http://schemas.openxmlformats.org/officeDocument/2006/relationships/hyperlink" Target="https://www.gov.uk/government/publications/research-review-series-mathematics/research-review-series-mathematics" TargetMode="External"/><Relationship Id="rId12" Type="http://schemas.openxmlformats.org/officeDocument/2006/relationships/hyperlink" Target="https://educationendowmentfoundation.org.uk/education-evidence/teaching-learning-toolkit/phonics" TargetMode="External"/><Relationship Id="rId17" Type="http://schemas.openxmlformats.org/officeDocument/2006/relationships/hyperlink" Target="https://educationendowmentfoundation.org.uk/guidance-for-teachers/learning-behaviours?utm_source=/guidance-for-teachers/learning-behaviours&amp;utm_medium=search&amp;utm_campaign=site_search&amp;search_term=behaviou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small-group-tuition" TargetMode="External"/><Relationship Id="rId20" Type="http://schemas.openxmlformats.org/officeDocument/2006/relationships/hyperlink" Target="https://www.gov.uk/government/publications/school-attendance/framework-for-securing-full-attendance-actions-for-schools-and-local-authorit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2tic4wvo1iusb.cloudfront.net/documents/guidanceForTeachers/EEF-Guide-to-the-Pupil-Premium-Autumn-2021.pdf?v=1636978402"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ducationendowmentfoundation.org.uk/projects-and-evaluation/projects/oxford-university-nuffield-early-language-intervention-development-of-an-online-training-model?utm_source=/projects-and-evaluation/projects/oxford-university-nuffield-early-language-intervention-development-of-an-online-training-model&amp;utm_medium=search&amp;utm_campaign=site_search&amp;search_term=neli" TargetMode="External"/><Relationship Id="rId23" Type="http://schemas.openxmlformats.org/officeDocument/2006/relationships/header" Target="header1.xml"/><Relationship Id="rId10" Type="http://schemas.openxmlformats.org/officeDocument/2006/relationships/hyperlink" Target="https://educationendowmentfoundation.org.uk/education-evidence/teaching-learning-toolkit/phonics" TargetMode="External"/><Relationship Id="rId19" Type="http://schemas.openxmlformats.org/officeDocument/2006/relationships/hyperlink" Target="https://educationendowmentfoundation.org.uk/education-evidence/teaching-learning-toolkit/social-and-emotional-learning" TargetMode="External"/><Relationship Id="rId4" Type="http://schemas.openxmlformats.org/officeDocument/2006/relationships/webSettings" Target="webSettings.xml"/><Relationship Id="rId9" Type="http://schemas.openxmlformats.org/officeDocument/2006/relationships/hyperlink" Target="https://www.gov.uk/government/publications/choosing-a-phonics-teaching-programme/list-of-phonics-teaching-programmes" TargetMode="External"/><Relationship Id="rId14" Type="http://schemas.openxmlformats.org/officeDocument/2006/relationships/hyperlink" Target="https://educationendowmentfoundation.org.uk/education-evidence/teaching-learning-toolkit/one-to-one-tuition" TargetMode="Externa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2573</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Nicola</cp:lastModifiedBy>
  <cp:revision>2</cp:revision>
  <cp:lastPrinted>2014-09-17T13:26:00Z</cp:lastPrinted>
  <dcterms:created xsi:type="dcterms:W3CDTF">2022-03-16T16:30:00Z</dcterms:created>
  <dcterms:modified xsi:type="dcterms:W3CDTF">2022-03-16T16:30:00Z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